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10</w:t>
      </w:r>
    </w:p>
    <w:p>
      <w:pPr>
        <w:pStyle w:val="BodyText"/>
        <w:tabs>
          <w:tab w:val="right" w:leader="dot" w:pos="9350"/>
        </w:tabs>
        <w:ind w:left="720"/>
      </w:pPr>
      <w:hyperlink w:anchor="sec1-6">
        <w:r>
          <w:rPr/>
          <w:t xml:space="preserve">1.7 Scope and Limitations of the Study</w:t>
        </w:r>
      </w:hyperlink>
      <w:r>
        <w:tab/>
      </w:r>
      <w:r>
        <w:t xml:space="preserve">11</w:t>
      </w:r>
    </w:p>
    <w:p>
      <w:pPr>
        <w:pStyle w:val="BodyText"/>
        <w:tabs>
          <w:tab w:val="right" w:leader="dot" w:pos="9350"/>
        </w:tabs>
      </w:pPr>
      <w:hyperlink w:anchor="sec-chapter2">
        <w:r>
          <w:rPr/>
          <w:t xml:space="preserve">Chapter 2: REVIEW OF RELATED LITERATURE</w:t>
        </w:r>
      </w:hyperlink>
      <w:r>
        <w:tab/>
      </w:r>
      <w:r>
        <w:t xml:space="preserve">15</w:t>
      </w:r>
    </w:p>
    <w:p>
      <w:pPr>
        <w:pStyle w:val="BodyText"/>
        <w:tabs>
          <w:tab w:val="right" w:leader="dot" w:pos="9350"/>
        </w:tabs>
        <w:ind w:left="720"/>
      </w:pPr>
      <w:hyperlink w:anchor="sec2-1">
        <w:r>
          <w:rPr/>
          <w:t xml:space="preserve">2.1 Introduction to the Review</w:t>
        </w:r>
      </w:hyperlink>
      <w:r>
        <w:tab/>
      </w:r>
      <w:r>
        <w:t xml:space="preserve">15</w:t>
      </w:r>
    </w:p>
    <w:p>
      <w:pPr>
        <w:pStyle w:val="BodyText"/>
        <w:tabs>
          <w:tab w:val="right" w:leader="dot" w:pos="9350"/>
        </w:tabs>
        <w:ind w:left="720"/>
      </w:pPr>
      <w:hyperlink w:anchor="sec2-2">
        <w:r>
          <w:rPr/>
          <w:t xml:space="preserve">2.2 Theoretical Framework</w:t>
        </w:r>
      </w:hyperlink>
      <w:r>
        <w:tab/>
      </w:r>
      <w:r>
        <w:t xml:space="preserve">17</w:t>
      </w:r>
    </w:p>
    <w:p>
      <w:pPr>
        <w:pStyle w:val="BodyText"/>
        <w:tabs>
          <w:tab w:val="right" w:leader="dot" w:pos="9350"/>
        </w:tabs>
        <w:ind w:left="720"/>
      </w:pPr>
      <w:hyperlink w:anchor="sec2-3">
        <w:r>
          <w:rPr/>
          <w:t xml:space="preserve">2.3 Historical Foundations of Natural-Language Interfaces</w:t>
        </w:r>
      </w:hyperlink>
      <w:r>
        <w:tab/>
      </w:r>
      <w:r>
        <w:t xml:space="preserve">21</w:t>
      </w:r>
    </w:p>
    <w:p>
      <w:pPr>
        <w:pStyle w:val="BodyText"/>
        <w:tabs>
          <w:tab w:val="right" w:leader="dot" w:pos="9350"/>
        </w:tabs>
        <w:ind w:left="720"/>
      </w:pPr>
      <w:hyperlink w:anchor="sec2-4">
        <w:r>
          <w:rPr/>
          <w:t xml:space="preserve">2.4 Natural-Language-to-Shell Translation</w:t>
        </w:r>
      </w:hyperlink>
      <w:r>
        <w:tab/>
      </w:r>
      <w:r>
        <w:t xml:space="preserve">24</w:t>
      </w:r>
    </w:p>
    <w:p>
      <w:pPr>
        <w:pStyle w:val="BodyText"/>
        <w:tabs>
          <w:tab w:val="right" w:leader="dot" w:pos="9350"/>
        </w:tabs>
        <w:ind w:left="720"/>
      </w:pPr>
      <w:hyperlink w:anchor="sec2-5-safety">
        <w:r>
          <w:rPr/>
          <w:t xml:space="preserve">2.5 Command Safety, Static Analysis, and Recovery</w:t>
        </w:r>
      </w:hyperlink>
      <w:r>
        <w:tab/>
      </w:r>
      <w:r>
        <w:t xml:space="preserve">25</w:t>
      </w:r>
    </w:p>
    <w:p>
      <w:pPr>
        <w:pStyle w:val="BodyText"/>
        <w:tabs>
          <w:tab w:val="right" w:leader="dot" w:pos="9350"/>
        </w:tabs>
        <w:ind w:left="720"/>
      </w:pPr>
      <w:hyperlink w:anchor="sec2-5">
        <w:r>
          <w:rPr/>
          <w:t xml:space="preserve">2.6 Graphical and Computer-Using Agents</w:t>
        </w:r>
      </w:hyperlink>
      <w:r>
        <w:tab/>
      </w:r>
      <w:r>
        <w:t xml:space="preserve">32</w:t>
      </w:r>
    </w:p>
    <w:p>
      <w:pPr>
        <w:pStyle w:val="BodyText"/>
        <w:tabs>
          <w:tab w:val="right" w:leader="dot" w:pos="9350"/>
        </w:tabs>
        <w:ind w:left="720"/>
      </w:pPr>
      <w:hyperlink w:anchor="sec2-6">
        <w:r>
          <w:rPr/>
          <w:t xml:space="preserve">2.7 Accessibility and Speech-Driven Interaction</w:t>
        </w:r>
      </w:hyperlink>
      <w:r>
        <w:tab/>
      </w:r>
      <w:r>
        <w:t xml:space="preserve">35</w:t>
      </w:r>
    </w:p>
    <w:p>
      <w:pPr>
        <w:pStyle w:val="BodyText"/>
        <w:tabs>
          <w:tab w:val="right" w:leader="dot" w:pos="9350"/>
        </w:tabs>
        <w:ind w:left="720"/>
      </w:pPr>
      <w:hyperlink w:anchor="sec2-7">
        <w:r>
          <w:rPr/>
          <w:t xml:space="preserve">2.8 Evaluation Environments and Benchmarks</w:t>
        </w:r>
      </w:hyperlink>
      <w:r>
        <w:tab/>
      </w:r>
      <w:r>
        <w:t xml:space="preserve">36</w:t>
      </w:r>
    </w:p>
    <w:p>
      <w:pPr>
        <w:pStyle w:val="BodyText"/>
        <w:tabs>
          <w:tab w:val="right" w:leader="dot" w:pos="9350"/>
        </w:tabs>
        <w:ind w:left="720"/>
      </w:pPr>
      <w:hyperlink w:anchor="sec2-8">
        <w:r>
          <w:rPr/>
          <w:t xml:space="preserve">2.9 Synthesis: Comparative Analysis and Research Gap</w:t>
        </w:r>
      </w:hyperlink>
      <w:r>
        <w:tab/>
      </w:r>
      <w:r>
        <w:t xml:space="preserve">37</w:t>
      </w:r>
    </w:p>
    <w:p>
      <w:pPr>
        <w:pStyle w:val="BodyText"/>
        <w:tabs>
          <w:tab w:val="right" w:leader="dot" w:pos="9350"/>
        </w:tabs>
        <w:ind w:left="720"/>
      </w:pPr>
      <w:hyperlink w:anchor="sec2-9">
        <w:r>
          <w:rPr/>
          <w:t xml:space="preserve">2.10 Review of the Methodological Literature</w:t>
        </w:r>
      </w:hyperlink>
      <w:r>
        <w:tab/>
      </w:r>
      <w:r>
        <w:t xml:space="preserve">44</w:t>
      </w:r>
    </w:p>
    <w:p>
      <w:pPr>
        <w:pStyle w:val="BodyText"/>
        <w:tabs>
          <w:tab w:val="right" w:leader="dot" w:pos="9350"/>
        </w:tabs>
        <w:ind w:left="720"/>
      </w:pPr>
      <w:hyperlink w:anchor="sec2-10">
        <w:r>
          <w:rPr/>
          <w:t xml:space="preserve">2.11 Summary</w:t>
        </w:r>
      </w:hyperlink>
      <w:r>
        <w:tab/>
      </w:r>
      <w:r>
        <w:t xml:space="preserve">47</w:t>
      </w:r>
    </w:p>
    <w:p>
      <w:pPr>
        <w:pStyle w:val="BodyText"/>
        <w:tabs>
          <w:tab w:val="right" w:leader="dot" w:pos="9350"/>
        </w:tabs>
      </w:pPr>
      <w:hyperlink w:anchor="sec-chapter3">
        <w:r>
          <w:rPr/>
          <w:t xml:space="preserve">Chapter 3: METHODOLOGY</w:t>
        </w:r>
      </w:hyperlink>
      <w:r>
        <w:tab/>
      </w:r>
      <w:r>
        <w:t xml:space="preserve">49</w:t>
      </w:r>
    </w:p>
    <w:p>
      <w:pPr>
        <w:pStyle w:val="BodyText"/>
        <w:tabs>
          <w:tab w:val="right" w:leader="dot" w:pos="9350"/>
        </w:tabs>
      </w:pPr>
      <w:hyperlink w:anchor="sec-conceptual-framework">
        <w:r>
          <w:rPr/>
          <w:t xml:space="preserve">Conceptual Framework</w:t>
        </w:r>
      </w:hyperlink>
      <w:r>
        <w:tab/>
      </w:r>
      <w:r>
        <w:t xml:space="preserve">50</w:t>
      </w:r>
    </w:p>
    <w:p>
      <w:pPr>
        <w:pStyle w:val="BodyText"/>
        <w:tabs>
          <w:tab w:val="right" w:leader="dot" w:pos="9350"/>
        </w:tabs>
      </w:pPr>
      <w:hyperlink w:anchor="sec-system-env">
        <w:r>
          <w:rPr/>
          <w:t xml:space="preserve">System Environment Specifications</w:t>
        </w:r>
      </w:hyperlink>
      <w:r>
        <w:tab/>
      </w:r>
      <w:r>
        <w:t xml:space="preserve">52</w:t>
      </w:r>
    </w:p>
    <w:p>
      <w:pPr>
        <w:pStyle w:val="BodyText"/>
        <w:tabs>
          <w:tab w:val="right" w:leader="dot" w:pos="9350"/>
        </w:tabs>
      </w:pPr>
      <w:hyperlink w:anchor="sec1">
        <w:r>
          <w:rPr/>
          <w:t xml:space="preserve">Section 1: Dataset</w:t>
        </w:r>
      </w:hyperlink>
      <w:r>
        <w:tab/>
      </w:r>
      <w:r>
        <w:t xml:space="preserve">55</w:t>
      </w:r>
    </w:p>
    <w:p>
      <w:pPr>
        <w:pStyle w:val="BodyText"/>
        <w:tabs>
          <w:tab w:val="right" w:leader="dot" w:pos="9350"/>
        </w:tabs>
      </w:pPr>
      <w:hyperlink w:anchor="sec2">
        <w:r>
          <w:rPr/>
          <w:t xml:space="preserve">Section 2: Procedure / Experiment</w:t>
        </w:r>
      </w:hyperlink>
      <w:r>
        <w:tab/>
      </w:r>
      <w:r>
        <w:t xml:space="preserve">67</w:t>
      </w:r>
    </w:p>
    <w:p>
      <w:pPr>
        <w:pStyle w:val="BodyText"/>
        <w:tabs>
          <w:tab w:val="right" w:leader="dot" w:pos="9350"/>
        </w:tabs>
      </w:pPr>
      <w:hyperlink w:anchor="sec3">
        <w:r>
          <w:rPr/>
          <w:t xml:space="preserve">Section 3: System Testing</w:t>
        </w:r>
      </w:hyperlink>
      <w:r>
        <w:tab/>
      </w:r>
      <w:r>
        <w:t xml:space="preserve">84</w:t>
      </w:r>
    </w:p>
    <w:p>
      <w:pPr>
        <w:pStyle w:val="BodyText"/>
        <w:tabs>
          <w:tab w:val="right" w:leader="dot" w:pos="9350"/>
        </w:tabs>
      </w:pPr>
      <w:hyperlink w:anchor="sec-master-references">
        <w:r>
          <w:rPr/>
          <w:t xml:space="preserve">REFERENCES</w:t>
        </w:r>
      </w:hyperlink>
      <w:r>
        <w:tab/>
      </w:r>
      <w:r>
        <w:t xml:space="preserve">108</w:t>
      </w:r>
    </w:p>
    <w:p>
      <w:pPr>
        <w:pStyle w:val="BodyText"/>
        <w:tabs>
          <w:tab w:val="right" w:leader="dot" w:pos="9350"/>
        </w:tabs>
      </w:pPr>
      <w:hyperlink w:anchor="sec-appendices">
        <w:r>
          <w:rPr/>
          <w:t xml:space="preserve">APPENDICES</w:t>
        </w:r>
      </w:hyperlink>
      <w:r>
        <w:tab/>
      </w:r>
      <w:r>
        <w:t xml:space="preserve">115</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31</w:t>
      </w:r>
    </w:p>
    <w:p>
      <w:pPr>
        <w:pStyle w:val="BodyText"/>
        <w:tabs>
          <w:tab w:val="right" w:leader="dot" w:pos="9350"/>
        </w:tabs>
      </w:pPr>
      <w:hyperlink w:anchor="table-2-1">
        <w:r>
          <w:rPr/>
          <w:t xml:space="preserve">Table 2.2: Comparative analysis of surveyed systems on conversational and LLM-mediated interfaces for personal computing</w:t>
        </w:r>
      </w:hyperlink>
      <w:r>
        <w:tab/>
      </w:r>
      <w:r>
        <w:t xml:space="preserve">38</w:t>
      </w:r>
    </w:p>
    <w:p>
      <w:pPr>
        <w:pStyle w:val="BodyText"/>
        <w:tabs>
          <w:tab w:val="right" w:leader="dot" w:pos="9350"/>
        </w:tabs>
      </w:pPr>
      <w:hyperlink w:anchor="table-3-1">
        <w:r>
          <w:rPr/>
          <w:t xml:space="preserve">Table 3.1: Study evaluation machines</w:t>
        </w:r>
      </w:hyperlink>
      <w:r>
        <w:tab/>
      </w:r>
      <w:r>
        <w:t xml:space="preserve">53</w:t>
      </w:r>
    </w:p>
    <w:p>
      <w:pPr>
        <w:pStyle w:val="BodyText"/>
        <w:tabs>
          <w:tab w:val="right" w:leader="dot" w:pos="9350"/>
        </w:tabs>
      </w:pPr>
      <w:hyperlink w:anchor="table-3-2">
        <w:r>
          <w:rPr/>
          <w:t xml:space="preserve">Table 3.2: SynapseOS minimum deployment requirements</w:t>
        </w:r>
      </w:hyperlink>
      <w:r>
        <w:tab/>
      </w:r>
      <w:r>
        <w:t xml:space="preserve">53</w:t>
      </w:r>
    </w:p>
    <w:p>
      <w:pPr>
        <w:pStyle w:val="BodyText"/>
        <w:tabs>
          <w:tab w:val="right" w:leader="dot" w:pos="9350"/>
        </w:tabs>
      </w:pPr>
      <w:hyperlink w:anchor="table-3-3">
        <w:r>
          <w:rPr/>
          <w:t xml:space="preserve">Table 3.3: Metrics for the recoverability algorithm, and what each is for</w:t>
        </w:r>
      </w:hyperlink>
      <w:r>
        <w:tab/>
      </w:r>
      <w:r>
        <w:t xml:space="preserve">86</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92</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97</w:t>
      </w:r>
    </w:p>
    <w:p>
      <w:pPr>
        <w:pStyle w:val="BodyText"/>
        <w:tabs>
          <w:tab w:val="right" w:leader="dot" w:pos="9350"/>
        </w:tabs>
      </w:pPr>
      <w:hyperlink w:anchor="appendix-c">
        <w:r>
          <w:rPr/>
          <w:t xml:space="preserve">Table C.1: Custom cross-platform task suite — core tasks</w:t>
        </w:r>
      </w:hyperlink>
      <w:r>
        <w:tab/>
      </w:r>
      <w:r>
        <w:t xml:space="preserve">118</w:t>
      </w:r>
    </w:p>
    <w:p>
      <w:pPr>
        <w:pStyle w:val="BodyText"/>
        <w:tabs>
          <w:tab w:val="right" w:leader="dot" w:pos="9350"/>
        </w:tabs>
      </w:pPr>
      <w:hyperlink w:anchor="appendix-c">
        <w:r>
          <w:rPr/>
          <w:t xml:space="preserve">Table C.2: Boundary tasks — outside shell expressibility</w:t>
        </w:r>
      </w:hyperlink>
      <w:r>
        <w:tab/>
      </w:r>
      <w:r>
        <w:t xml:space="preserve">120</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19</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52</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writing the command for a person who could not, and in doing so they move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Increasingly, these systems act by running commands on a real machine, and therefore on a person’s own files.</w:t>
      </w:r>
    </w:p>
    <w:p>
      <w:pPr>
        <w:pStyle w:val="BodyText"/>
      </w:pPr>
      <w:r>
        <w:t xml:space="preserve">Such a command can delete or overwrite files, and whether the damage can be undone depends on what was saved before it ran.  Knowing what to save is not simple, because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the command runs, and saving beforehand exactly what it would destroy, is therefore a problem of program analysis rather than of interface design.  This study addresses that problem, using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but a rollback restores everything since the snapshot rather than what one command destroyed.  A list judges a command by its name and arguments, so it misses what the command touches through another command or through a target computed at run time; and neither a list nor a snapshot can say, before a command runs, whether the command will lose anything.  Designs closer to this study’s aim do not close the gap either.  NaSh, a design for a natural-language shell, proposes summaries of what a command would affect and selective undo, but leaves their mechanism open [13], and</w:t>
      </w:r>
      <w:r>
        <w:t xml:space="preserve"> </w:t>
      </w:r>
      <w:r>
        <w:rPr>
          <w:i/>
          <w:iCs/>
        </w:rPr>
        <w:t xml:space="preserve">try</w:t>
      </w:r>
      <w:r>
        <w:t xml:space="preserve"> </w:t>
      </w:r>
      <w:r>
        <w:t xml:space="preserve">contains a command’s effects only by running it, for the user to judge [22].  No system in the surveyed literature, nor any shipping tool examined, derives from a generated command’s structure, before it runs, what it would destroy and captures exactly that so that the command can be undone.  That is the gap this study’s research addresses.</w:t>
      </w:r>
    </w:p>
    <w:p>
      <w:pPr>
        <w:pStyle w:val="BodyText"/>
      </w:pPr>
      <w:r>
        <w:t xml:space="preserve">The setting in which this gap arises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These gaps are not what this study contributes, but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the terms it rests on, defined here,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Two mechanisms find a command’s effects.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w:t>
      </w:r>
      <w:r>
        <w:t xml:space="preserve"> </w:t>
      </w:r>
      <w:r>
        <w:rPr>
          <w:i/>
          <w:iCs/>
        </w:rPr>
        <w:t xml:space="preserve">resolution</w:t>
      </w:r>
      <w:r>
        <w:t xml:space="preserve"> </w:t>
      </w:r>
      <w:r>
        <w:t xml:space="preserve">learns targets known only at run time by running a form of the command first proven to change nothing.  From those effects the analysis reaches a</w:t>
      </w:r>
      <w:r>
        <w:t xml:space="preserve"> </w:t>
      </w:r>
      <w:r>
        <w:rPr>
          <w:i/>
          <w:iCs/>
        </w:rPr>
        <w:t xml:space="preserve">verdict</w:t>
      </w:r>
      <w:r>
        <w:t xml:space="preserve"> </w:t>
      </w:r>
      <w:r>
        <w:t xml:space="preserve">on the command, which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Which verdicts the user is asked about is decided by a confirmation</w:t>
      </w:r>
      <w:r>
        <w:t xml:space="preserve"> </w:t>
      </w:r>
      <w:r>
        <w:rPr>
          <w:i/>
          <w:iCs/>
        </w:rPr>
        <w:t xml:space="preserve">policy</w:t>
      </w:r>
      <w:r>
        <w:t xml:space="preserve">: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Because the analysis takes a command as a string, it is independent of the interface and of the model that wrote the command.  The interface used here is SynapseOS, a conversational interface layer built for this study over a Linux desktop that keeps running underneath it;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Whether what it destroys can then be restored depends on what was saved before it ran, and the tools that run such commands today do not determine that (Section 1.2).  This study addresses the problem of determining, before a generated shell command runs, what it would change, whether the change can be undone, and the least that must be captured beforehand so that it can be.  The problem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because the analysis takes a shell command as a string, each would stand if the interface were removed.  SynapseOS is therefore the platform rather than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The study follows one design principle: adopt existing software wherever it will serve, and build only what cannot be adopted.  The principle is stated here because it locates the contribution.  Most of what is adopted, listed in Table 1.1, is the platform’s stack;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background of adopted components,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of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The analysis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commands that destroy data or act outside the filesystem, the analysis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On silent loss the analysis ties a fail-closed list, which asks before every command it does not recognize as read-only, both at zero; its contribution is therefore not the verdict itself but what it restores, and how much less often than the fail-closed list it asks.  Its</w:t>
      </w:r>
      <w:r>
        <w:t xml:space="preserve"> </w:t>
      </w:r>
      <w:r>
        <w:rPr>
          <w:i/>
          <w:iCs/>
        </w:rPr>
        <w:t xml:space="preserve">capture coverage</w:t>
      </w:r>
      <w:r>
        <w:t xml:space="preserve">, the share of those 325 it captured beforehand and that undo then restored exactly, was 89.5%, where the fail-closed list restored none.  Of the 372 commands that lose nothing, it asked about 32 to 45 (9% to 12%, depending on the policy), against the fail-closed list’s 101 (27%): far less often than that list, and not significantly more often than the pattern list (32 to 45 against 30 of 372).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is significant under McNemar’s exact test, which compares two systems on the same commands (each p &lt; 10</w:t>
      </w:r>
      <w:r>
        <w:rPr>
          <w:vertAlign w:val="superscript"/>
        </w:rPr>
        <w:t xml:space="preserve">−42</w:t>
      </w:r>
      <w:r>
        <w:t xml:space="preserve">), and silent loss stays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implemented as a single binary running over an unmodified desktop session, in which the analysis is deployed.  It grounds natural-language intent in shell commands, gates each command on the analysis’s verdict, captures what the analysis’s plan names before the command runs, and records a recovery journal from which the command can be undone.</w:t>
      </w:r>
    </w:p>
    <w:p>
      <w:pPr>
        <w:pStyle w:val="Compact"/>
        <w:numPr>
          <w:ilvl w:val="0"/>
          <w:numId w:val="1004"/>
        </w:numPr>
      </w:pPr>
      <w:r>
        <w:rPr>
          <w:b/>
          <w:bCs/>
        </w:rPr>
        <w:t xml:space="preserve">A validation of the analysis in use.</w:t>
      </w:r>
      <w:r>
        <w:t xml:space="preserve"> </w:t>
      </w:r>
      <w:r>
        <w:t xml:space="preserve">A controlled study in which participants, from novice users to power users, operate the platform on matched tasks.  It measures how the analysis’s decisions hold on commands people cause — silent loss, verified restoration, and needless confirmation in live use — and, as characterizations of the platform, task success, time, error rate, and workload against each participant’s own primary operating system.</w:t>
      </w:r>
    </w:p>
    <w:p>
      <w:pPr>
        <w:pStyle w:val="FirstParagraph"/>
      </w:pPr>
      <w:r>
        <w:t xml:space="preserve">Because the research contribution is evaluated against a labeled command corpus, independently of any participant, the platform and its validation are reported separately from it, and a negative result on any of the three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On this study’s corpus, the shipped checks of Codex CLI and cc-safety-net, across their presets, let 73% to 97% of the file-destroying commands run with neither a confirmation nor a capture, and even a pattern list built for this study as a baseline let 31% through (Section 1.5) [21, 32].  The recoverability analysis adds what a list cannot: a capture, taken before the command runs, from which the command can be undone.  It can be placed in front of any system that runs generated Bash commands on a Debian-like Linux system, the setting studied here (Section 1.7).</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Its subject matter is program analysis applied to shell commands, and it draws on natural language processing, LLM-based reasoning, Linux system integration, and human-computer interaction for the setting in which the analysis is deployed.  The analysis covers commands in the bash dialect on a Debian system: their effects on the filesystem, and the changes they make to package and service state through apt, dpkg, and systemd.  It is evaluated on a corpus of 777 commands drawn from NL2Bash, from templates covering each composition operator, and from tools whose effects lie outside the filesystem, and ablation on the same corpus measures what composition and runtime-target resolution each contribute.</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participants spanning novice computer users to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Second, some of what the analysis relies on rests on weaker evidence or on assumptions.  Its model of package and service changes is checked by unit tests rather than by execution, since no command in the corpus changes installed packages or running services under observation (Chapter 3, Section 3.1(e)).  Its per-command rules are a hand-written enumeration, which its composition builds on rather than replaces.  It resolves a command’s targets shortly before the command runs, so a file changed by another process in the interval is captured as it was when resolved.  Undo restored 630 of the 631 commands executed in the recovery check, the one failure being reported in Chapter 3; and testing after the evaluation found seven defects in the analysis and one in its undo, all fixed and none triggered by any command in the corpus, so that re-running it changed no result (Chapter 3, Section 3.1(d)).  Third, the corpus bounds what the evaluation shows.  It consists of human-written commands from NL2Bash, templates written by the same team that wrote the analysis’s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The corpus was also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that result rests on 19 losses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analysis does not ask less often than the pattern list, which it does not significantly exceed (32 to 45 against 30 of 372), or than the coding-agent checks (1 to 15); and the deployed gate, which also consults the pattern list, asks about 58 to 67 (16% to 18%), still well below the fail-closed list’s 27%.  How often the user is asked also depends on policy: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since the analysis takes whatever command it is given.  Seventh, the platform targets the Linux desktop, and the validation study’s findings may not generalize to Windows or macOS.  The study is also bounded by the task coverage of the OSWorld benchmark and the custom task suite, and it excludes users with motor accessibility needs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first is the program-analysis and command-safety work on which the study’s recoverability analysis builds; the second is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 has three purposes: to establish the conceptual vocabulary and technical foundations on which the present study builds, to characterize the current state of the field and its recurring limitations, and to locate precisely the gaps that the proposed recoverability analysis, and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Works concerned solely with model architecture or training, without a computing-interaction target, and general-purpose conversational systems without a system-control capability, were excluded unless they bear on that interaction theory.  The comparison criterion is stated explicitly because the fourth gap this chapter identifies concerns the scarcity of exactly such comparisons.  A corpus that admitted only the other criteria could not contain a comparative interface study by construction, and an absence argument drawn from it would be circular rather than evidential.</w:t>
      </w:r>
    </w:p>
    <w:p>
      <w:pPr>
        <w:pStyle w:val="BodyText"/>
      </w:pPr>
      <w:r>
        <w:t xml:space="preserve">Candidate works were identified through language-model-assisted search across arXiv, the ACM Digital Library, IEEE Xplore, and the ACL Anthology, and the search was extended by backward and forward citation chaining from each work that met the criteria above.  Because shipped systems that guard or recover from agents’ commands are documented outside those databases, vendor documentation and open-source repositories were also searched directly for command guards and recovery mechanisms, as of October 2026; ANOLISA, Codex CLI, and cc-safety-net were found this way.  The review is therefore narrative rather than systematic, and the search is not claimed to be exhaustive.  Assisted search can also surface plausible but non-existent references, and can attribute to a source a claim that source does not make, so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that remains is one of recall rather than accuracy: assisted search favors well-indexed and heavily cited work, so the corpus may under-represent less visible literature, and the absence claims in §2.9 are accordingly scoped to the surveyed corpus and stated as such, rather than as claims about the literature as a whole.  With its scope and method set out, the chapter first presents the theoretical frameworks (§2.2) and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of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on which the study’s recoverability analysis relies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extend a program’s type judgment with an explicit account of the side effects an expression may produce, so that a compiler or static checker can reason about those effects instead of leaving them implicit in execution; their types and effects can be inferred by the algebraic reconstruction of Jouvelot and Gifford [20], and Talpin and Jouvelot [44] give them a full formal treatment.  The recoverability algorithm this study contributes (Chapter 3, Section 2.1(a)–(c)) is an instance of this discipline, applied to a question to which no work in the surveyed corpus applies either tradition: whether the effects of a generated command can be undone, and what must be captured beforehand so that they can be.  The algorithm treats a generated shell command as an expression whose effect is derived from its syntax and composed across its operators — an effect on the filesystem and on the system’s installed packages and running services, rather than on a type system’s abstract state — and it computes the recoverability verdict over that effect set, not over the command’s name.  This connects the algorithm to an established formal lineage rather than presenting it as a bespoke heuristic.  It also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The first concerns targets known only at run time: for these,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The second is the recovery plan, a cost-minimizing choice over that abstraction: for each effect the abstraction admits, it selects the cheapest capture that restores it, so the plan inherits the abstraction’s over-approximation, capturing more than strictly necessary when the analysis is unsure, never less.  Combining static and dynamic analysis is not new in general; what is specific to this study is the combination it uses: dry runs run only after the static analysis proves them read-only, feeding a recoverability verdict, and a recovery plan chosen over that verdict’s effects.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a guarantee that holds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second framework organizes the interface literature.  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of Input, Reasoning, Action, and Operating-System Integration.  The framework is informed by the component view of large language model (LLM)-brained graphical user interface (GUI) agents in the survey of Zhang and colleagues [53]; its perception, planning, and action components are recast here as four layers for language-mediated computing interfaces as a class, with an added layer for the scope of an interface’s effect.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25/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suits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the comparative synthesis of §2.9 makes this layer-by-layer positioning explicit.  Third, it is</w:t>
      </w:r>
      <w:r>
        <w:t xml:space="preserve"> </w:t>
      </w:r>
      <w:r>
        <w:rPr>
          <w:i/>
          <w:iCs/>
        </w:rPr>
        <w:t xml:space="preserve">directly applicable</w:t>
      </w:r>
      <w:r>
        <w:t xml:space="preserve"> </w:t>
      </w:r>
      <w:r>
        <w:t xml:space="preserve">to the platform.  SynapseOS, in which the analysis is deployed (Chapter 3, Figure 3.1), instantiates the same pipeline: it accepts natural-language intent at the Input layer, parses it with a locally-hosted small language model at the Reasoning layer, translates it into shell commands executed through the standard toolchain at the Action layer, and spans the full graphical session rather than a single application at the Operating-System Integration layer.  The pipeline therefore serves both as the organizing lens for the interface literature and as the vocabulary in which the platform is later positioned.  Within it, the analysis sits between the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It was an intelligent natural-language interface that allowed naive users to learn about the Unix operating system through conversation in ordinary English, addressing both the natural-language-frontend problem and the consultation problem, and so distinguishing itself from systems intended only as command translators.  Built on the KODIAK knowledge representation, it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Beyond the critique lies the comparative question, which is older than the current literature and considerably less settled than it is often assumed to be.  It is widely held that the command line’s power is inaccessible to most people in practice, yet the best-known controlled comparison of command, menu, and iconic interfaces, conducted by Whiteside and colleagues across seventy-six users and seven systems [48], concluded that interface style itself predicted neither performance nor preference: careful design did, and there was no necessary tradeoff between ease of use and ease of learning.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Because its commands were collected for translation rather than for safety, most of them are read-only, and that corpus is therefore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it introduces a functional-equivalence heuristic that reaches 95% confidence in determining whether two Bash commands produce the same effect,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at translation time — the contents of the current directory, the user’s command history, and environment variables — and integrating context-aware retrieval is a direction their findings point to,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Because LLM outputs may be unintended or unexplainable, the authors note, guardrails are required for user error recovery, and they leave two problems as open work: the design of recovery and rollback mechanisms for irreversible system operations, and the empirical user evaluation of the approach.  The present study’s recoverability analysis addresses the first, recovery from an operation already approved; its validation in use takes up the second.</w:t>
      </w:r>
    </w:p>
    <w:p>
      <w:pPr>
        <w:pStyle w:val="BodyText"/>
      </w:pPr>
      <w:r>
        <w:t xml:space="preserve">What ships follows the same design.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The files on a personal computer, which is the setting of this study, have no such safeguard.</w:t>
      </w:r>
    </w:p>
    <w:p>
      <w:pPr>
        <w:pStyle w:val="BodyText"/>
      </w:pPr>
      <w:r>
        <w:t xml:space="preserve">Every shipped guard surveyed decides by</w:t>
      </w:r>
      <w:r>
        <w:t xml:space="preserve"> </w:t>
      </w:r>
      <w:r>
        <w:rPr>
          <w:i/>
          <w:iCs/>
        </w:rPr>
        <w:t xml:space="preserve">permission</w:t>
      </w:r>
      <w:r>
        <w:t xml:space="preserve">: through allow-and-deny lists over command prefixes, the command is matched against an enumerated set of patterns judged dangerous and is then allowed, refused, or escalated to the user.  NaSh [13] goes further as a proposal, adding summaries of what a command would affect and selective undo to its guardrails, but leaves the mechanisms for both open.  A permission model answers whether a command may run; it does not answer whether, having run, the command can be undone, and those are different questions with different answers.  Refusing a command protects a user only until they approve it, which, for any system that must let work proceed, is most of the time.  This gap, which the guards share, is the one this study’s algorithmic contribution addresses.</w:t>
      </w:r>
    </w:p>
    <w:p>
      <w:pPr>
        <w:pStyle w:val="BodyText"/>
      </w:pPr>
      <w:r>
        <w:t xml:space="preserve">The distinction between permission and undo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The comparison that matters is also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and the study therefore claims what the analysis adds to the fail-closed list — capturing what would be lost so that undo restores it, and asking far less often, both of which composition and resolution make possible — and not the verdict alone.  Determining recoverability over a composed command, and computing the minimal information needed to reverse it, is the open problem this study takes up (RQ1–RQ3), and it is what separates the present work from the guardrail designs surveyed above.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it is not concerned with what a script’s commands would do to the filesystem if executed correctly.  Smoosh [12] gives the POSIX shell a mechanized, executable small-step operational semantics which, run against the POSIX and Modernish test suites and its authors’ own, proved more conformant to the standard than seven widely used shells.  That is exactly the kind of ground-truth semantics against which a static effect analysis would need to be checked, but Smoosh stops at defining the semantics rather than analyzing programs written in it.  Closest of the three is CoLiS [2], which applies symbolic execution to the more than twenty-seven thousand POSIX-shell maintainer scripts in the Debian package archive, scripts that run with root privileges during install, upgrade, and removal, to find violations of the properties Debian policy requires of them;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w:t>
      </w:r>
      <w:r>
        <w:t xml:space="preserve"> </w:t>
      </w:r>
      <w:r>
        <w:rPr>
          <w:i/>
          <w:iCs/>
        </w:rPr>
        <w:t xml:space="preserve">rm -rf /var/cache/pkg</w:t>
      </w:r>
      <w:r>
        <w:t xml:space="preserve"> </w:t>
      </w:r>
      <w:r>
        <w:t xml:space="preserve">is idempotent, since running it twice does no more damage than once, and it is destructive, since nothing restores what it removes unless that was captured before the first run.  Conversely,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of the three,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on a filesystem without copy-on-write, such as the ext4 on which this study is conducted, a snapshot must visit every file in the tree, a cost measured in Chapter 3, Section 3.1(a).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Versioning file systems, the second kind,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The third kind, 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among them a</w:t>
      </w:r>
      <w:r>
        <w:t xml:space="preserve"> </w:t>
      </w:r>
      <w:r>
        <w:rPr>
          <w:rStyle w:val="VerbatimChar"/>
        </w:rPr>
        <w:t xml:space="preserve">find -exec</w:t>
      </w:r>
      <w:r>
        <w:t xml:space="preserve"> </w:t>
      </w:r>
      <w:r>
        <w:t xml:space="preserve">suggested by a language model that deletes a user’s files.  It is the closest prior work to the analysis’s dry runs, and the two differ in where the knowledge comes from. </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they identify adaptation to other desktop platforms, such as Linux and macOS, as future work, and frame cross-platform deployment as groundwork for a unified ecosystem of desktop automation solutions.  UFO² acts on the user’s behalf, as an automation layer beside the user’s own Windows session, whereas the platform built for this study is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It is built to run AI agents on cloud servers, whereas the platform studied here runs a local model under a person’s direction, but the difference that matters here lies in recovery: it recovers by snapshot, restoring everything since a checkpoint, rather than by determining what one command will destroy and capturing exactly that.  That difference reflects the question this study asks, which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It is relevant to the present study in two ways: it provides the most rigorous human-centered evaluations in the field, and it exhibits a limitation that is the mirror image of the mainstream agent literature, and so it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is that a command should execute in about the time a caregiver would take; the present study’s confirmation step adds to that time whenever it asks, which is one reason the study measures what asking costs as well as what it protects.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presupposing an underlying conversational surface on which to run.  A conversational interface layer over the whole session could provide one.  Accessibility is accordingly positioned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which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and directly relevant to the present study as the source of a real-task suite against which benchmark comparability can be established.  At its 2024 release the margin it measured was stark: humans achieved 72.36% success where the best evaluated model reached 12.24%.  Its successor, OSWorld 2.0 [52], evaluates 108 long-horizon workflows whose median item requires roughly an hour and a half of skilled human operation, and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shipped guard surveyed decides whether a command may run by matching it against a list of patterns; NaSh [13] proposes summaries of a command’s effects without specifying a mechanism; and ToolEmu [38] measures risk across many runs rather than guarding a command.  Every analysis of shell programs targets a property other than recoverability.  Every recovery mechanism either restores wholesale, as ANOLISA’s snapshots do [1], or needs a system built for it. </w:t>
      </w:r>
      <w:r>
        <w:t xml:space="preserve"> </w:t>
      </w:r>
      <w:r>
        <w:rPr>
          <w:i/>
          <w:iCs/>
        </w:rPr>
        <w:t xml:space="preserve">try</w:t>
      </w:r>
      <w:r>
        <w:t xml:space="preserve"> </w:t>
      </w:r>
      <w:r>
        <w:t xml:space="preserve">[22], which is not a recovery mechanism, previews a command only by running it and leaving its effects for the user to judge.  None derives from a command’s structure what it would destroy or captures what is needed to undo it, and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Nor do the recent systems nearest that ambition fill the gap: AgentOS [25] is a research direction without a built system, and UFO² [54] is an automation layer that acts on the user’s behalf (§2.6).</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GPT-4V reaches 51.1% with oracle grounding, and its sharp degradation from that ceiling without the oracle is attributable in significant part to grounding failure.  The bottleneck is a property of the graphical-simulation approach specifically.  A command-line approach, which grounds intent into shell commands rather than into on-screen pixel regions, sidesteps it, at the cost of being bounded by what is expressible on the command line.  Direct comparison usefully qualifies that tradeoff.  Across 440 matched desktop tasks, screen-only graphical agents pass 59.1% while command-line agents reach only 48.2%, so the shell is not automatically the stronger substrate; but command-line agents whose skills are augmented under the guidance of verifiers reach 69.3%, the highest of the three conditions, and the authors attribute most of the command-line deficit to incomplete skill coverage rather than to model capability [58].  The shell, then, is bounded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the same basic mechanism the present study adopts.  These tools are excluded from Table 2.2 not because they are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they are powered by large models hosted on remote infrastructure.  SynapseOS differs on both axes: it is addressed to any user of the machine regardless of command-line fluency, and it runs a locally hosted small language model rather than depending on the cloud.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shipped systems surveyed guard a generated command by permission, matching it against an enumerated list of dangerous patterns, while recovery either restores wholesale, needs a system built for it, or, in</w:t>
      </w:r>
      <w:r>
        <w:t xml:space="preserve"> </w:t>
      </w:r>
      <w:r>
        <w:rPr>
          <w:i/>
          <w:iCs/>
        </w:rPr>
        <w:t xml:space="preserve">try</w:t>
      </w:r>
      <w:r>
        <w:t xml:space="preserve"> </w:t>
      </w:r>
      <w:r>
        <w:t xml:space="preserve">[22], runs the command for the user to judge;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and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NaSh [13], is worth stating directly.  NaSh proposes guardrails for an LLM-powered natural language shell — generated code that remains analyzable, selective undo, and summaries of what a command would affect — as a design position, and it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ground truth observed wherever a command acts on files.</w:t>
      </w:r>
    </w:p>
    <w:bookmarkEnd w:id="69"/>
    <w:bookmarkEnd w:id="70"/>
    <w:bookmarkStart w:id="71" w:name="sec2-9"/>
    <w:p>
      <w:pPr>
        <w:pStyle w:val="Heading2"/>
      </w:pPr>
      <w:r>
        <w:t xml:space="preserve">2.10 Review of the Methodological Literature</w:t>
      </w:r>
    </w:p>
    <w:p>
      <w:pPr>
        <w:pStyle w:val="FirstParagraph"/>
      </w:pPr>
      <w:r>
        <w:t xml:space="preserve">The methodological literature bears on the study’s two kinds of evidence in turn, beginning with the primary one: the evaluation of the algorithm, which follows established practice for judging a program analysis.  A sound analysis is judged first by what it misses, its false negatives, and only then by what its false alarms cost, since soundness is the property it claims [8]; silent loss is therefore the primary measure and needless confirmation the cost.  For every command that acts on files, ground truth is observed by execution rather than assigned by judges, and the 80 commands whose effects lie outside the filesystem are labeled from a fixed table.  Execution is the standard by which executable semantics of the shell are validated against what shells actually do [12], and it also underlies the scoring of generated Bash commands against what was intended [47].  Part of the corpus comes from a public dataset, NL2Bash [24], so that the evaluation does not rest only on commands written by the people who wrote the analysis.  The claim that particular components produce the result is tested by ablation, rerunning the analysis with each switched off.  Comparisons in which every system is scored on the same commands use the standard tests for paired proportions: McNemar’s exact test on the commands two systems handle differently, Wilson intervals for each proportion and Newcombe intervals for each difference, and Holm’s correction across each family of tests.  Chapter 3, Sections 1.2, 3.1, and 3.2 give the design.</w:t>
      </w:r>
    </w:p>
    <w:p>
      <w:pPr>
        <w:pStyle w:val="BodyText"/>
      </w:pPr>
      <w:r>
        <w:t xml:space="preserve">The rest of the methodological literature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they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using each participant’s most familiar environment as the comparison condition rather than a fixed alternative that may be unfamiliar, so that no participant is measured on an environment they have not used.  This strengthens the ecological validity that the benchmark-only evaluations in the surveyed literature lack; because familiarity then favors the baseline, however, the comparison characterizes the platform against each participant’s practiced environment rather than isolating interface quality (Chapter 3, Section 1.2(d)).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Finally,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Around that basis, the command guards of natural-language shells and coding agents [13, 21, 32] decide by permission rather than by effect; the static analyses of shell programs [2, 12, 28] target properties adjacent to recoverability but not recoverability itself; and recovery mechanisms from snapshots, including ANOLISA’s [1], to operating system transactions [6, 11, 35, 37, 39] restore after the fact, but wholesale or only on a system built for it.  The</w:t>
      </w:r>
      <w:r>
        <w:t xml:space="preserve"> </w:t>
      </w:r>
      <w:r>
        <w:rPr>
          <w:i/>
          <w:iCs/>
        </w:rPr>
        <w:t xml:space="preserve">try</w:t>
      </w:r>
      <w:r>
        <w:t xml:space="preserve"> </w:t>
      </w:r>
      <w:r>
        <w:t xml:space="preserve">utility [22] previews a command by running it, and ToolEmu [38] measures the risks of agents rather than guarding a given command.  The second literature, in which the platform is situated, covers natural-language and LLM-mediated interfaces to personal computing across nearly four decades, organized here along a four-layer pipeline of Input, Reasoning, Action, and Operating-System Integration.  Its historical foundations established the long-standing aspiration to a natural-language interface to a real operating system [49] and the methodological shift, driven by in-context reasoning [51], that made the current generation of systems possible.  Against that aspiration, the critique of natural-language interaction from direct manipulation [7, 18, 27, 31, 41–43], together with the controlled comparison of Whiteside and colleagues [48], cautions that a conversational interface must earn its place, a caution that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Finally,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Taken together, the surveyed works reveal the fourfold gap set out in the synthesis: no analysis of what a generated command would destroy, with every shipped guard deciding by permission and every shipped recovery restoring by snapshot, and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Before execution, the analysis takes as input the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The analysis’s verdict, rather than a pattern match, drives the confirmation gate; its plan’s captures are taken before the command runs and recorded in an undo journal; and undo restores from them.  Because the confirmation gate requires the user to approve irreversible operations, the generated shell command is displayed rather than hidden: an approval given without sight of what is being approved is not consent.  Visibility also makes the system’s translation of intent observable to the participant, which is what allows a user to notice a misinterpretation before it executes rather than after.  The analyzer is specified in Section 2.1(a)–(c) of this chapter and evaluated in Sections 3.1 and 3.2, independently of the validation study.</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It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that its behavior in use can be compared with its behavior on the corpus.  Its expert baseline design, which pits SynapseOS against the environment each participant already knows and uses daily, also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25/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SynapseOS offers three interface modes, all of them deliverables of this study.  The user study evaluates SynapseOS in GUI mode, which requires a graphical desktop environment and 8 GB RAM.  TUI mode is a terminal-based interface requiring no display server, running on as little as 2 vCPU and 4 GB RAM, and is designed for server and remote deployment environments accessible over SSH; CLI mode</w:t>
      </w:r>
      <w:hyperlink w:anchor="ch3-fn1">
        <w:r>
          <w:rPr>
            <w:rStyle w:val="Hyperlink"/>
            <w:vertAlign w:val="superscript"/>
          </w:rPr>
          <w:t xml:space="preserve">1</w:t>
        </w:r>
      </w:hyperlink>
      <w:r>
        <w:t xml:space="preserve"> </w:t>
      </w:r>
      <w:r>
        <w:t xml:space="preserve">serves scripting and automation and passes each command through the same confirmation gate (Section 2.1(e)).  CLI mode is not evaluated in the user study, and TUI mode only under the fallback described next.  The study condition does, however, depend on GUI mode being complete and stable in advance of participant recruitment, and a slipped implementation milestone would otherwise delay the entire evaluation.  The condition is therefore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Throughout Condition A, the underlying XFCE session continues running beneath the conversational interface, and if SynapseOS becomes unresponsive during a task or a participant wishes to stop using it, a fallback returns them to that session.  Every fallback invocation is logged, and any task during which it occurs is excluded from the primary completion-time and error-rate comparison rather than counted as a SynapseOS success (Section 3.7).</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held as four partitions: human-written commands from NL2Bash [24], templates covering each shell composition operator, commands whose effect lies outside the filesystem, and commands the deployed model itself wrote.  Each command is paired with a fixture — the files and directories that exist when it runs — and with a ground-truth label observed by running it on that fixture in a sandbox: whether it loses nothing, loses something a captured pre-image could restore, or acts outside the filesystem.  Every configuration compared in Section 3 — the analysis, its baselines, and its ablations — records its decision on each command: whether it would ask, and what it would capture.  Every command the analysis would let run is also executed and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It evaluates computer-using agents in real operating system environments: tasks are presented as natural language instructions, agents interact with a real virtual machine environment, and outcomes are evaluated by automated inspection of the resulting system state — whether the goal was actually achieved — rather than by comparing individual actions.  Here it serves as a secondary check that relates the platform’s results to the existing literature, and only its tasks that can be expressed as shell commands are adapted, since graphical-only tasks are outside SynapseOS’s scope (Section 2.1(e)).  Alongside OSWorld, a custom cross-platform task suite is developed for this study, covering file search and organization, system and process monitoring, application and package management, and text and data processing; each task is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its four partitions are reported separately rather than pooled.  The first, NL2Bash [24], supplies human-written commands and serves as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holds commands whose effect lies outside the filesystem, described under (b) below.  The fourth holds commands the deployed model itself wrote: the NL2Bash descriptions of a random sample of tasks are given to the prototype’s model with the runtime’s own prompt, and the command it returns is labeled by the same pipeline.  This partition is reported apart for two reasons: a set drawn from this prototype’s own output is biased toward the shapes it produces, and the analysis is about model-generated commands, which NL2Bash’s human-written ones are not.  Commands logged during the validation study are scored the same way (Section 3.5(e)).</w:t>
      </w:r>
    </w:p>
    <w:p>
      <w:pPr>
        <w:pStyle w:val="BodyText"/>
      </w:pPr>
      <w:r>
        <w:t xml:space="preserve">The corpus is also stratified by the shape of each command, which the generator assigns from the command’s syntax: a single named command; a chain; one whose targets are computed while it runs; a redirect; one whose effect hides inside a shell, interpreter, or wrapper it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 one whose effect lies outside the filesystem.  A command that fits several shapes is given the first that applies, in the order hidden, run-time, chain, redirect, single.  Because the shape follows the syntax alone, a program the rule table does not model is classed by how it is written, not by why the analysis asks about it; this is why the 34 losses the analysis asked about are counted differently by cause and by shape in Section 3.1(d).  Results are reported per shape as well as in aggregate, because the claims under test concern the composed, run-time, and hidden shapes, and a corpus dominated by plain named commands would measure the strength of a list and not the contribution of the analysis.</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whereas OSWorld’s own environment is an Ubuntu virtual machine [50], so its shell-expressible tasks are adapted to the Debian evaluation machine.  Each benchmark task is supplied to SynapseOS as a natural language instruction and executed through the conversational interface; results are captured programmatically through the built-in telemetry system,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Since OSWorld scores the resulting system state rather than a human operator’s performance,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Under a within-subjects design, each participant completes a matched task set on both machines.  Completing the identical task twice would measure recall rather than interface efficiency, so two parallel task forms, Set A and Set B, are constructed; they are matched item for item on category, difficulty level, and number of required steps, and differ only in the specific targets involved.  Form and condition order are crossed in a 2×2 counterbalance, yielding four participant groups of ten: Set A first on SynapseOS, Set B first on SynapseOS, Set A first on the native OS, and Set B first on the native OS.  Each enrolled participant is allocated to one of the four by block randomization from a recorded seed, in blocks of four stratified by primary OS, so that order and form are not confounded with proficiency or operating system; task order within a form is randomized per participant.  Form equivalence is verified during the pilot study, and condition order is retained as a between-subjects factor in the analysis.  Counterbalancing redistributes carryover but does not remove it, and asymmetric transfer — carryover that is larger in one order than the other — cannot be separated from the order effect in a two-period design; it is therefore limited by the parallel forms and stated as a limitation rather than tested (Section 3.7).  Screen capture software records activity on both machines, and in the SynapseOS condition the SynapseOS session logger supplements the recording.</w:t>
      </w:r>
    </w:p>
    <w:p>
      <w:pPr>
        <w:pStyle w:val="BodyText"/>
      </w:pPr>
      <w:r>
        <w:t xml:space="preserve">The study involves 40 participants spanning the range of computing proficiency.  At one end are</w:t>
      </w:r>
      <w:r>
        <w:t xml:space="preserve"> </w:t>
      </w:r>
      <w:r>
        <w:rPr>
          <w:b/>
          <w:bCs/>
        </w:rPr>
        <w:t xml:space="preserve">novice users</w:t>
      </w:r>
      <w:r>
        <w:t xml:space="preserve">, recruited from the general university population: they have limited computing experience, are capable only of basic tasks such as web browsing and document editing, and have no command-line familiarity.  At the other end are</w:t>
      </w:r>
      <w:r>
        <w:t xml:space="preserve"> </w:t>
      </w:r>
      <w:r>
        <w:rPr>
          <w:b/>
          <w:bCs/>
        </w:rPr>
        <w:t xml:space="preserve">power users</w:t>
      </w:r>
      <w:r>
        <w:t xml:space="preserve">, recruited from the university’s information technology and computer science programs and proficient on their primary OS in file management, system monitoring, and process administration; everyone in between is included as well.  Rather than being assigned to a group, each participant is measured by the proficiency score of Section 1.4, and every enrolled participant is analyzed.</w:t>
      </w:r>
    </w:p>
    <w:p>
      <w:pPr>
        <w:pStyle w:val="BodyText"/>
      </w:pPr>
      <w:r>
        <w:t xml:space="preserve">Participants are recruited through university channels, and ethics approval is secured before recruitment begins.  Recruitment enforces a minimum quota of four of the forty participants per primary OS background (Windows, macOS, Linux), so that the realized set cannot end up concentrated in a single OS and leave the per-OS exploratory subgroup analysis (Section 3.4) without data for the others.  It also aims for a spread of proficiency, with at least fifteen of the forty reporting basic and at least fifteen reporting advanced proficiency on their primary OS, so that the proficiency score of Section 1.4 spans its range.  Within these quotas, every eligible volunteer is enrolled on a first-come basis until forty are reached, and a quota still unmet at the end is reported as a limitation.  Because a daily Linux user with basic proficiency is uncommon, if the Linux quota cannot include one, it is met from more proficient users, and the resulting imbalance is reported rather than concealed.  Consent is given in two stages: a short screening consent at sign-up, covering the screening questionnaire and screener call, how the volunteer’s data are kept, and their destruction if the volunteer is not enrolled; and the full informed consent (Appendix F) at the start of the session.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it has a practical consequence: this evaluation depends on no ethics approval, no recruitment, and no participant sessions, so it can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serves as a secondary check on the platform, for the reason given in (b) above: it relates the platform’s results to the existing literature.  The analysis itself is evaluated on the command corpus, for the reasons just given.</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the parallel forms limit and Section 3.7 states as a limitation.</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so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remain characterizations, however; the validation outcome proper is the analysis’s behavior on the commands participants cause (Section 3.5(e)).</w:t>
      </w:r>
    </w:p>
    <w:p>
      <w:pPr>
        <w:pStyle w:val="BodyText"/>
      </w:pPr>
      <w:r>
        <w:t xml:space="preserve">Spanning novice to power users lets the validation study show whether the analysis’s decisions hold both for people who can read the commands it judges and for people who cannot, and lets it characterize the platform across both.  The validation data accordingly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the analysis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Each volunteer completes a screening questionnaire online at sign-up, and the behavioral screener below in a short call on their own computer, before any session is scheduled, so that every scheduled session yields an analyzed participant.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because self-reported proficiency alone is not a reliable classifier: a participant’s technical background in one domain (e.g., software development) does not guarantee fluency with a given OS’s native file management, process monitoring, and system administration tools, which is the specific competency the proficiency score is intended to capture.  The screener consists of three timed mini-tasks performed unaided on the participant’s primary OS using its native tools, one from each of three of the four system-task categories used in the main study: file organization (locate and relocate a set of recently modified files), process monitoring (identify the application consuming the most memory via the OS’s native system monitor), and application management (determine whether a named application is installed and identify its version).  The facilitator scores each task pass/fail against a fixed time limit and completion criterion.</w:t>
      </w:r>
    </w:p>
    <w:p>
      <w:pPr>
        <w:pStyle w:val="BodyText"/>
      </w:pPr>
      <w:r>
        <w:t xml:space="preserve">Each participant receives a</w:t>
      </w:r>
      <w:r>
        <w:t xml:space="preserve"> </w:t>
      </w:r>
      <w:r>
        <w:rPr>
          <w:b/>
          <w:bCs/>
        </w:rPr>
        <w:t xml:space="preserve">proficiency score</w:t>
      </w:r>
      <w:r>
        <w:t xml:space="preserve"> </w:t>
      </w:r>
      <w:r>
        <w:t xml:space="preserve">from 0 to 8: the number of behavioral screener tasks passed (0–3), plus self-reported proficiency on the primary OS (basic 0, intermediate 1, advanced 2), plus self-reported command-line familiarity (none 0 to advanced 3).  The behavioral screener and the two self-reports enter at roughly equal weight, and the three components are also analyzed separately as a sensitivity check.  Because the score, not a classification, enters the analysis, no participant is excluded for falling between groups or for a self-report the screener does not confirm; the screener corrects the self-report rather than vetoing it.  Volunteers are excluded only for eligibility: being under eighteen, or using the primary OS for fewer than four hours a day.  For description, participants in the lowest third of the score are referred to as</w:t>
      </w:r>
      <w:r>
        <w:t xml:space="preserve"> </w:t>
      </w:r>
      <w:r>
        <w:rPr>
          <w:b/>
          <w:bCs/>
        </w:rPr>
        <w:t xml:space="preserve">novice users</w:t>
      </w:r>
      <w:r>
        <w:t xml:space="preserve"> </w:t>
      </w:r>
      <w:r>
        <w:t xml:space="preserve">and those in the highest third as</w:t>
      </w:r>
      <w:r>
        <w:t xml:space="preserve"> </w:t>
      </w:r>
      <w:r>
        <w:rPr>
          <w:b/>
          <w:bCs/>
        </w:rPr>
        <w:t xml:space="preserve">power users</w:t>
      </w:r>
      <w:r>
        <w:t xml:space="preserve">.  Primary OS is recorded for all participants as a grouping variable in the analysis, and prior conversational AI exposure as a covariate;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every participant receives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SynapseOS began with a command-safety check of the same kind as those of the tools surveyed in Chapter 2, and as the execution pipeline’s own classification in (e) below: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contribution does not lie in the verdict, since on silent loss the fail-closed list, which asks before every command it does not recognize as read-only, reaches the same outcome on the commands studied.  It lies in the derivation of the effect set, (b), and in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The soundness claim itself carries two limits.  First, resolution runs commands before the user has consented, which is safe only because each is proven to have no effects.  Second,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Three things are not represented: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which is safe but coarse; this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it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Only across</w:t>
      </w:r>
      <w:r>
        <w:t xml:space="preserve"> </w:t>
      </w:r>
      <w:r>
        <w:rPr>
          <w:i/>
          <w:iCs/>
        </w:rPr>
        <w:t xml:space="preserve">&amp;&amp;</w:t>
      </w:r>
      <w:r>
        <w:t xml:space="preserve"> </w:t>
      </w:r>
      <w:r>
        <w:t xml:space="preserve">does a later part see what an earlier one did as done;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 later write to that path is captured, and an earlier</w:t>
      </w:r>
      <w:r>
        <w:t xml:space="preserve"> </w:t>
      </w:r>
      <w:r>
        <w:rPr>
          <w:i/>
          <w:iCs/>
        </w:rPr>
        <w:t xml:space="preserve">cd</w:t>
      </w:r>
      <w:r>
        <w:t xml:space="preserve"> </w:t>
      </w:r>
      <w:r>
        <w:t xml:space="preserve">leaves the working directory unknown.  As in the shell, an assignment or</w:t>
      </w:r>
      <w:r>
        <w:t xml:space="preserve"> </w:t>
      </w:r>
      <w:r>
        <w:rPr>
          <w:i/>
          <w:iCs/>
        </w:rPr>
        <w:t xml:space="preserve">cd</w:t>
      </w:r>
      <w:r>
        <w:t xml:space="preserve"> </w:t>
      </w:r>
      <w:r>
        <w:t xml:space="preserve">inside a branch or loop outlives it, and a value on which the paths that may have run disagree is unknown afterwards.  Loops are analyzed once per resolved item with the loop variable bound, and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Composition therefore has two parts,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analyzes the command again with the concrete targets in place.  Resolution is what makes a capture possible for commands whose targets a static reading cannot name.  A resolver is run only if the same analysis proves it has no effects, and then inside the bubblewrap sandbox with the whole filesystem mounted read-only; without bubblewrap, resolution is switched off and the command asks.  If a resolver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effect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Only one removal of pre-existing data needs no capture: a rename or move, because the same data survives at the destination and undo is moving it back.  Compression and archiving are not moves,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of them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The total is therefore a sum of per-path costs plus the shared captures.  Choosing for each path the cheapest mechanism that suffices puts each per-path cost at its minimum, and dropping the removals a captured directory already covers can only lower the total, so together they give the least total cost.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Apart from a path created earlier in the same line, which held nothing to lose,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but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The gate asks only where it must, since a command that takes longer than a caregiver would is among the costs VoicePilot’s guidelines for LLM speech interfaces warn against [33].  It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the command, it is dispatched to a bash subprocess, and its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2"/>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[47] rather than syntax-level string matching: each generated command is executed in a controlled environment, and its resulting system state is compared against a human-annotated expected outcome for each task utterance.  Ambiguous cases, where the resulting state differs from the expected one only in ways the task did not ask about, are decided by a written equivalence rubric fixed before data collection and applied independently by two members of the team; disagreements are settled by discussion, and the number of cases decided this way is reported.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of them,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Of the remaining cases, one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behaviors, so it supports no claim about rates, and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Screening was completed at sign-up (Section 1.4), so no session time is spent on it.</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and screen recording captures all on-screen activity.  Participants are not asked to verbalize while tasks are timed, because concurrent think-aloud reliably slows task performance, and here it would slow the two conditions unequally: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volunteer is assigned an ID code at screening, which is kept on enrollment, and the screening answers,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first evaluates the analysis and then validates it in use.  Section 3.1 evaluates it against baselines on the command corpus (Objective 4), answering RQ2 through RQ4; Section 3.2 then measures, by ablation, what composition and runtime-target resolution contribute (Objective 5), answering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subsection (a) sets out the baselines, (b) the metrics, and (c) the statistics; (d) reports the results, and (e) the threats specific to this evaluation.  The evaluation answers RQ4 directly and supplies the evidence for RQ2 and RQ3.  Whether a command’s effects can be derived before it runs shows in silent loss and capture coverage, overall and for each command shape; whether the plan restores shows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not a weakened construction, because it is what the system does today.  The second turns the same list around to fail closed: every command in the line, including those inside substitutions, loops, and wrappers, must be a known read-only form, or the line asks.  It resolves no targets and plans no capture, but it removes the enumerated list’s silent failures on commands nobody named, which makes it the strongest simple alternative.  The third, the upper bound on safety, is a full pre-emptive copy of the working directory before every command; it recovers everything and is unusable in practice, and it sets the cost against which the minimal-plan computation must justify itself.  That cost was measured rather than asserted.  On this study’s ext4 evaluation machine, the cheapest real version of a pre-emptive snapshot — a Timeshift-style hardlink snapshot via</w:t>
      </w:r>
      <w:r>
        <w:t xml:space="preserve"> </w:t>
      </w:r>
      <w:r>
        <w:rPr>
          <w:rStyle w:val="VerbatimChar"/>
        </w:rPr>
        <w:t xml:space="preserve">rsync -a --link-dest</w:t>
      </w:r>
      <w:r>
        <w:t xml:space="preserve">, which is what a filesystem with no native snapshot falls back to — was timed against a working directory of 1,165 real files (580 MB).  A snapshot took 60–250 ms even when nothing, or exactly one file, had changed since the last one, because deciding what to hardlink means visiting every entry in the tree regardless of what changed.  The capture plan for a comparable single-file command took 0–20 ms, since its cost is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the gap remains.</w:t>
      </w:r>
    </w:p>
    <w:p>
      <w:pPr>
        <w:pStyle w:val="BodyText"/>
      </w:pPr>
      <w:r>
        <w:t xml:space="preserve">Because the first baseline was written by the same team, it was checked against command-safety checks that others ship.  Two open-source checks were scored on the same held-out corpus and labels, and their results are reported in (d) beside the others: the dangerous-command check of OpenAI’s Codex CLI [32], ported from its source and verified against that source’s own unit tests, and cc-safety-net [21],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these figures therefore describe how they would serve a person’s own files, not how well they serve their intended purpose.  What they do establish is that the first baseline is the strictest enumerated list tested, so comparisons against it understate rather than overstate the analysis’s advantage over lists in current use.  No shipping tool was found that determines a command’s effects before it runs in order to capture what it would destroy, nor one that captures, per command and before it runs, exactly what that command would destroy; that is the gap identified in Chapter 2, Section 2.5.  Wholesale snapshot recovery is represented by the pre-emptive-copy upper bound.</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so every comparison is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(commands one system handles correctly and the other does not) at α = 0.05, rather than with a two-sample test, which would treat the corpus as though two different sets of commands had been drawn.</w:t>
      </w:r>
    </w:p>
    <w:p>
      <w:pPr>
        <w:pStyle w:val="BodyText"/>
      </w:pPr>
      <w:r>
        <w:t xml:space="preserve">Silent loss, the safety measure of Table 3.3,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The Wilson interval is used rather than the normal approximation because silent loss is expected to be low for the stronger systems, and the normal approximation is unreliable near the boundary of a proportion, which is exactly where this metric sits.  For the analysis, the false-negative rate of Table 3.3 coincides with silent loss, because a command it judges recoverable runs without being asked about.</w:t>
      </w:r>
    </w:p>
    <w:p>
      <w:pPr>
        <w:pStyle w:val="BodyText"/>
      </w:pPr>
      <w:r>
        <w:t xml:space="preserve">A significance test states only whether two methods differ, not by how much, so each comparison is paired with an effect size, the paired-data counterpart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table of discordant pairs is reported alongside it, because it is the effect-size convention most directly tied to McNemar’s test and lets the result be compared with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These four tests form one family, so significance is judged with a Holm correction at a family-wise α = 0.05, and the uncorrected values are reported beside the corrected ones.  Needless confirmation is tested as a second family of its own: the analysis against the pattern list and against the fail-closed list, under each policy, by McNemar’s exact test with a Holm correction across the four.  The open-source checks are compared with the analysis on silent loss by McNemar’s exact test and reported with Wilson intervals, outside the four-test family, because they are a check on the first baseline rather than a primary comparison.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and numbered rounds 4 to 7, after the prototype’s earlier evaluation rounds; each was drawn after fixing what the recovery check on the one before it exposed.  Round 4 (778 commands, seed 20260922) was for development.  Round 5 (772 commands, seed 20260923) drove the recovery check and led to fixing two undo defects.  The recovery check on round 6 (776 commands, seed 20260924) found five further undo defects, which were then fixed: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Round 7 (777 commands, seed 20260925: 450 from NL2Bash, 247 from templates, 80 external; 325 executable losses) is the corpus whose figures are reported below; it was drawn after the analysis and the undo were both frozen, with the analyzer’s hash and the corpus’s hash recorded, and run once.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  Because those defects lay where parts of one line interact, a shape the corpus barely samples, a differential test was then built for that shape: compound lines join the fixture’s commands with operators, conditionals, and loops, some on a read-only directory so that parts fail, and every line the analysis lets run is executed in the sandbox, undone, and compared.  It found an eighth defect, in undo rather than in the analysis: when part of a line failed or did not run, undo could replay an effect that had not happened, and itself lose a file.  With undo fixed to restore by each file’s identity, every compound line the analysis let run, 23,054 across six draws, was restored exactly (the last draw restored 6,150 of 6,151 before its one failure was fixed), and the corpus results reported below are unchanged.</w:t>
      </w:r>
    </w:p>
    <w:p>
      <w:pPr>
        <w:pStyle w:val="BodyText"/>
      </w:pPr>
      <w:r>
        <w:t xml:space="preserve">On the round-7 corpus the enumerated-pattern classifier let 167 of the 405 commands that lose something or act outside the filesystem run with no confirmation and no capture (41.2%, 95% Wilson interval 36.5–46.1%), while neither the fail-closed list nor the effect analysis let any through (0.0%, interval 0.0–0.9%).  Where the fail-closed list and the analysis differ is in how often they ask.  The fail-closed list asked on every one of the 325 executable losses and captured nothing for any of them, and it asked on 101 of the 372 commands that lose nothing (27%).  The analysis asked on 45 of those 372 under the strict policy (12%) and 32 under the capture policy (9%), and the pattern list on 30 (8%).  The two policies differ only in whether the user is asked, so capture coverage, reported below, is the same under both; the ablations in Section 3.2 are read under the capture policy.  On needless confirmation, then,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about 45 (adjusted p = 0.13).  RQ4’s third part is therefore answered yes against the fail-closed list and no against the pattern list: the analysis is not shown to ask more often than the list, and in exchange it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it still lets no destructive command run silently.  The analysis-in-use measures of Section 3.5(e) score the deployed gate.</w:t>
      </w:r>
    </w:p>
    <w:p>
      <w:pPr>
        <w:pStyle w:val="BodyText"/>
      </w:pPr>
      <w:r>
        <w:t xml:space="preserve">The two open-source checks were scored on the same 325 commands that destroy files and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respectively (1.9%, 3.2%, and 4.0%).  Neither makes any capture, so the capture coverage of each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however,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as restored every loss it planned a capture for; this is an upper bound, which makes the comparison in Table 3.4 conservative toward the list.  The analysis asked about all 34 losses it did not cover: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that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These pooled figures hold within each partition.  Of the 150 losses among the human-written NL2Bash commands, the analysis let none through silently and covered 133 (88.7%); of the 175 among the templates, which were written by the same team as its rule table, it let none through and covered 158 (90.3%).  Under the capture policy it asked needlessly on 8% of the harmless NL2Bash commands and 10% of the harmless templates.  The pattern list, by contrast, let 40% of the NL2Bash losses, 23% of the template losses, and 84% of the 80 external commands run silently.  The picture is the same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both silent loss and capture, but from the fail-closed list only in capture: on silent loss the two are indistinguishable at zero.  So the verdict is not the contribution;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since the model’s commands are mostly read-only.  The partition was generated during round 6, the third corpus above, and scored then with that round’s analyzer and undo; it was scored again with the final analyzer and its undo, after the seven defects found after round 7 were fixed, which changed none of its 720 decisions (180 commands under each of the four systems scored) and none of the figures below.  On the 19 losses and the 15 external commands (34 in all), the pattern list let 20 through silently (58.8%, interval 42.2–73.6%), and the fail-closed list and the analysis one each (2.9%, 0.5–14.9%): a listing that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to these results.  First,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Second, a large share of NL2Bash candidates are excluded because they name paths or programs the fixture cannot supply, which biases that partition toward commands that run on a small tree.  Third, the external partition is assigned by a table of state-changing tools and not observed, so its labels are only as good as the table, as the model-generated partition’s one error shows.  Fourth, the model-generated partition’s commands were generated in round 6, before the analyzer was frozen; re-scoring them with the final analyzer changed no decision, but they were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The following threats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is stated and not corrected: a bias toward commands that run on a small fixture, since most NL2Bash candidates that name paths or hosts the fixture cannot supply are excluded.  Third, the algorithm and the labels are produced by the same research team, which creates a risk that the labels reflect the algorithm’s assumptions; against this, the generator is independent of the analysis by construction, and the corpus is fixed by a recorded seed and hash before the analysis is run on it.  Fourth, and following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and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Fifth, the corpus does not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 such table.  This study’s adviser raised the distinction directly: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analyzes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that is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To separate the two,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result came from the table,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there are 176 such items without composition, 143 without resolution, and 187 without both.  Silent loss, by contrast, is unchanged at 0.0% in every configuration.  The fail-closed default that the analysis falls back to for anything it cannot resolve depends on neither part: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What they do is make the analysis</w:t>
      </w:r>
      <w:r>
        <w:t xml:space="preserve"> </w:t>
      </w:r>
      <w:r>
        <w:rPr>
          <w:i/>
          <w:iCs/>
        </w:rPr>
        <w:t xml:space="preserve">useful</w:t>
      </w:r>
      <w:r>
        <w:t xml:space="preserve">: they are the difference between asking about nearly everything and actually recovering what was lost,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In short, the capture-coverage result of Section 3.1(d) is attributable to composition and resolution together, and not to the table they are sometimes mistaken for, while the zero silent loss of Section 3.1(d)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The study exercises the platform on two task datasets: the custom cross-platform task suite described in Sections 1.1 and 1.5, and the OSWorld benchmark task suite [50], which serves as a secondary check related to, but not comparable with, published agent scores, since its tasks are adapted, attended, and gated.  The user study involves 40 participants spanning the range from novice users to power users, every one of them analyzed (Section 1.4).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in counterbalanced order: 20 participants complete Condition A first, and 20 participants complete Condition B first.  Condition order is crossed with the two task forms in a 2×2 design of four groups of ten (Section 1.2(d)), which distributes order effects across conditions.  The condition × order term of the model in Section 3.6 estimates the period (practice) effect; asymmetric transfer, which a two-period design cannot separate from order, is discussed in Section 3.7.</w:t>
      </w:r>
    </w:p>
    <w:p>
      <w:pPr>
        <w:pStyle w:val="BodyText"/>
      </w:pPr>
      <w:r>
        <w:t xml:space="preserve">All participants are analyzed together, with the proficiency score as a continuous moderator, to determine whether the effect of the interface condition differs across experience levels.  In addition,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difference in error rate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reported with the same prominence as completion time, although completion time alone is the confirmatory test (Section 3.6).</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Task completion time is the primary platform measure and is tested at α = 0.05; error rate, SUS, and NASA-TLX are secondary measures, tested at a familywise α = 0.05 with Holm’s correction across the three.  Effect size is reported as Cohen’s</w:t>
      </w:r>
      <w:r>
        <w:t xml:space="preserve"> </w:t>
      </w:r>
      <w:r>
        <w:rPr>
          <w:i/>
          <w:iCs/>
        </w:rPr>
        <w:t xml:space="preserve">d</w:t>
      </w:r>
      <w:r>
        <w:t xml:space="preserve">, with thresholds of 0.2 (small), 0.5 (medium), and 0.8 (large).  Sample size is justified by an a priori power analysis for a paired-samples comparison of the primary measure, two-tailed, at α = 0.05,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has about 87% power at that effect size and 80% power for effects of</w:t>
      </w:r>
      <w:r>
        <w:t xml:space="preserve"> </w:t>
      </w:r>
      <w:r>
        <w:rPr>
          <w:i/>
          <w:iCs/>
        </w:rPr>
        <w:t xml:space="preserve">d</w:t>
      </w:r>
      <w:r>
        <w:t xml:space="preserve"> </w:t>
      </w:r>
      <w:r>
        <w:t xml:space="preserve">= 0.46 or larger, leaving margin for attrition.  For the secondary measures, Holm’s first test is at α/3, where the sample has about 74% power at</w:t>
      </w:r>
      <w:r>
        <w:t xml:space="preserve"> </w:t>
      </w:r>
      <w:r>
        <w:rPr>
          <w:i/>
          <w:iCs/>
        </w:rPr>
        <w:t xml:space="preserve">d</w:t>
      </w:r>
      <w:r>
        <w:t xml:space="preserve"> </w:t>
      </w:r>
      <w:r>
        <w:t xml:space="preserve">= 0.5 and 80% power for</w:t>
      </w:r>
      <w:r>
        <w:t xml:space="preserve"> </w:t>
      </w:r>
      <w:r>
        <w:rPr>
          <w:i/>
          <w:iCs/>
        </w:rPr>
        <w:t xml:space="preserve">d</w:t>
      </w:r>
      <w:r>
        <w:t xml:space="preserve"> </w:t>
      </w:r>
      <w:r>
        <w:t xml:space="preserve">= 0.53 or larger.  Because proficiency enters as a continuous score and no participant is set aside, every comparison uses all forty.  Even so, the condition × proficiency interaction, which characterizes whether the platform serves users of different proficiency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These platform comparisons set the sample size;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Each is then replayed on a copy of that snapshot in the sandbox and labeled as the corpus is (Section 1.2(b)), with one difference: a command that exits non-zero is kept, not excluded, and labeled from its before-and-after difference, since in use a failed command’s partial effects are real.  The labeled commands are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by contrast, proceeds in three stages.  First, descriptive statistics — means, standard deviations, and 95% confidence intervals — are computed for all platform measures (task completion time, error rate, SUS score, NASA-TLX score) per condition, and for the lowest and highest thirds of the proficiency score.  Second, the Shapiro-Wilk test is applied to assess normality of each distribution before the appropriate inferential test is selected: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Whether the effect of the interface condition depends on technical background is examined through the interaction between condition and the proficiency score of Section 1.4, estimated on all forty participants; treating proficiency as a score rather than splitting it into two groups keeps the power a split would discard.  For description, results are also shown for the lowest and highest thirds of the score.  Because condition order and task form are crossed between subjects (Section 1.2(d)), each platform measure is modeled with condition, proficiency score, order, and task form as fixed effects, together with the condition × proficiency interaction and the condition × order term, which in a two-period crossover is the period (practice) effect.  Error, which is binary per task, is modeled by a logistic mixed model and completion time by a linear mixed model on its logarithm, both with crossed random intercepts for participant and task; the SUS and NASA-TLX scores, which are taken once per condition, are modeled by a linear mixed model with a random intercept for participant.  The condition term of the completion-time model is the confirmatory test, and those of the other three models are secondary, Holm-corrected across the three.  The paired tests above serve as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So are the telemetry measures of Section 1.1(d) that are not otherwise analyzed (command latency and conversational turns per task), which are reported as means with confidence intervals per condition.</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each with the mitigation applied in this study.</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Counterbalancing alone does not resolve this: it redistributes carryover but cancels it only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term estimating the period (practice) effect.  Asymmetric transfer itself is aliased with the order effect in a two-period crossover and cannot be estimated separately; it is limited by the parallel forms and is a stated limitation.</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w:t>
      </w:r>
      <w:r>
        <w:t xml:space="preserve"> </w:t>
      </w:r>
      <w:r>
        <w:rPr>
          <w:i/>
          <w:iCs/>
        </w:rPr>
        <w:t xml:space="preserve">Mitigation:</w:t>
      </w:r>
      <w:r>
        <w:t xml:space="preserve"> </w:t>
      </w:r>
      <w:r>
        <w:t xml:space="preserve">the rubric is fixed before data collection and applied identically to both conditions, the SynapseOS condition is additionally checked by script, and the codebook and supporting excerpts are retained for audit; a residual scorer effect nonetheless remains and is not estimated.</w:t>
      </w:r>
    </w:p>
    <w:p>
      <w:pPr>
        <w:pStyle w:val="Compact"/>
        <w:numPr>
          <w:ilvl w:val="0"/>
          <w:numId w:val="1017"/>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19"/>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19"/>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19"/>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19"/>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19"/>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19"/>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19"/>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19"/>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Chapter 3,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Chapter 3,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Chapter 3, Section 1.2(d).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Chapter 3,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at sign-up, before any session is scheduled, and used to compute each volunteer’s proficiency score and to record the covariates described in Chapter 3, Section 1.4.  The form records a participant ID code only; the volunteer’s name appears solely on the consent form (Appendix F), which is stored separately from all study data.  Screening data belonging to volunteers who are not enrolled is destroyed within seven days of screening.</w:t>
      </w:r>
    </w:p>
    <w:p>
      <w:pPr>
        <w:pStyle w:val="BodyText"/>
      </w:pPr>
      <w:r>
        <w:rPr>
          <w:b/>
          <w:bCs/>
        </w:rPr>
        <w:t xml:space="preserve">Screening consent (read to the volunteer before Part 1).</w:t>
      </w:r>
      <w:r>
        <w:t xml:space="preserve"> </w:t>
      </w:r>
      <w:r>
        <w:t xml:space="preserve">This short questionnaire and three small tasks on your own computer tell us how familiar you are with it; every answer is useful to the study.  Taking part is voluntary and you may stop at any time.  Your answers are kept under a code, not your name.  We also ask for one way to contact you, used only to arrange the screening call and your session; it is kept apart from your answers and destroyed within seven days if you are not enrolled, or once your session is booked if you are.  Your answers are destroyed within seven days if you are not enrolled.  Nothing on your screen is recorded during the tasks.   □ I agree to be screened</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measures familiarity with their own computer, that every result is useful to the study, and that no outcome affects their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Proficiency score (facilitator use).</w:t>
      </w:r>
      <w:r>
        <w:t xml:space="preserve"> </w:t>
      </w:r>
      <w:r>
        <w:t xml:space="preserve">Screener tasks passed (0–3), plus Question 5 (Basic 0, Intermediate 1, Advanced 2), plus Question 6 (None 0, Basic 1, Intermediate 2, Advanced 3), for a score from 0 to 8, as defined in Chapter 3, Section 1.4.  A volunteer who meets the eligibility rules (Questions 1 and 4) is enrolled whatever the score; no volunteer is turned away for falling between groups.</w:t>
      </w:r>
    </w:p>
    <w:p>
      <w:pPr>
        <w:pStyle w:val="BodyText"/>
      </w:pPr>
      <w:r>
        <w:rPr>
          <w:b/>
          <w:bCs/>
        </w:rPr>
        <w:t xml:space="preserve">Proficiency score:</w:t>
      </w:r>
      <w:r>
        <w:t xml:space="preserve"> </w:t>
      </w:r>
      <w:r>
        <w:t xml:space="preserve">______ / 8  </w:t>
      </w:r>
      <w:r>
        <w:t xml:space="preserve"> </w:t>
      </w:r>
      <w:r>
        <w:rPr>
          <w:b/>
          <w:bCs/>
        </w:rPr>
        <w:t xml:space="preserve">Eligible:</w:t>
      </w:r>
      <w:r>
        <w:t xml:space="preserve"> </w:t>
      </w:r>
      <w:r>
        <w:t xml:space="preserve">□ Yes   □ No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Chapter 3,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If the condition about to begin is SynapseOS, give the five-minute orientation to it; the participant’s own operating system gets none (Chapter 3, Section 2.4).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2 with the other condition and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2026-10-12T20:22:18Z</dcterms:created>
  <dcterms:modified xsi:type="dcterms:W3CDTF">2026-10-12T20:22:18Z</dcterms:modified>
</cp:coreProperties>
</file>

<file path=docProps/custom.xml><?xml version="1.0" encoding="utf-8"?>
<Properties xmlns="http://schemas.openxmlformats.org/officeDocument/2006/custom-properties" xmlns:vt="http://schemas.openxmlformats.org/officeDocument/2006/docPropsVTypes"/>
</file>