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20/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capturing what would be lost so that undo restores it, and asking far less often, both of which composition and resolution make possible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destructive: nothing restores it unless what it removes was captured before the first run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and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established practice for judging a program analysis, and its methods are stated first.  A sound analysis is judged first by what it misses, its false negatives, and only then by what its false alarms cost, since soundness is the property it claims [8]; hence silent loss is the primary measure and needless confirmation the cost.  For every command that acts on files, its ground truth is observed by execution rather than assigned by judges, and the 80 whose effects lie outside the filesystem are labeled from a fixed table; execution is the standard by which executable semantics of the shell are validated against what shells actually do [12]; execution also underlies the scoring of generated Bash commands against what was intended [47].  Part of its corpus comes from a public dataset, NL2Bash [24], so that the evaluation does not rest only on commands written by the people who wrote the analysis.  The claim that particular components produce the result is tested by ablation, rerunning the analysis with each switched off; and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0/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is given the first that applies, in the order hidden, run-time, chain, redirect, single; and the shape follows the syntax alone, so a program the rule table does not model is classed by how it is written, not by why the analysis asks about it, which is why the 34 losses the analysis asked about are counted differently by cause and by shape in Section 3.1(d).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of pre-existing data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where the resulting state differs from the expected one only in ways the task did not ask about, decided by a written equivalence rubric fixed before data collection and applied by two members of the team independently, disagreements settled by discussion and the number of cases decided this way reported;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capture-coverage result in Section 3.1(d) is therefore attributable to composition and resolution together, and not to the table they are sometimes mistaken for;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as a secondary check related to, but not comparable with, published agent scores, since its tasks are adapted, attended, and gated,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a familywise α = 0.05, Holm-corrected across the four measures.  Effect size is reported using Cohen’s</w:t>
      </w:r>
      <w:r>
        <w:t xml:space="preserve"> </w:t>
      </w:r>
      <w:r>
        <w:rPr>
          <w:i/>
          <w:iCs/>
        </w:rPr>
        <w:t xml:space="preserve">d</w:t>
      </w:r>
      <w:r>
        <w:t xml:space="preserve">, with thresholds of 0.2 (small), 0.5 (medium), and 0.8 (large).  Sample size is justified by an a priori power analysis for a paired-samples comparison, two-tailed, computed against the noncentral</w:t>
      </w:r>
      <w:r>
        <w:t xml:space="preserve"> </w:t>
      </w:r>
      <w:r>
        <w:rPr>
          <w:i/>
          <w:iCs/>
        </w:rPr>
        <w:t xml:space="preserve">t</w:t>
      </w:r>
      <w:r>
        <w:t xml:space="preserve"> </w:t>
      </w:r>
      <w:r>
        <w:t xml:space="preserve">distribution at the level Holm’s procedure uses for its first test across the four measures, α/4 = 0.0125.  At that level the 40-participant sample has 80% power for effects of</w:t>
      </w:r>
      <w:r>
        <w:t xml:space="preserve"> </w:t>
      </w:r>
      <w:r>
        <w:rPr>
          <w:i/>
          <w:iCs/>
        </w:rPr>
        <w:t xml:space="preserve">d</w:t>
      </w:r>
      <w:r>
        <w:t xml:space="preserve"> </w:t>
      </w:r>
      <w:r>
        <w:t xml:space="preserve">= 0.55 or larger and about 70% power at a medium effect (</w:t>
      </w:r>
      <w:r>
        <w:rPr>
          <w:i/>
          <w:iCs/>
        </w:rPr>
        <w:t xml:space="preserve">d</w:t>
      </w:r>
      <w:r>
        <w:t xml:space="preserve"> </w:t>
      </w:r>
      <w:r>
        <w:t xml:space="preserve">= 0.5), for which 48 participants would be needed; each 20-participant subgroup, analyzed alone, detects effects of</w:t>
      </w:r>
      <w:r>
        <w:t xml:space="preserve"> </w:t>
      </w:r>
      <w:r>
        <w:rPr>
          <w:i/>
          <w:iCs/>
        </w:rPr>
        <w:t xml:space="preserve">d</w:t>
      </w:r>
      <w:r>
        <w:t xml:space="preserve"> </w:t>
      </w:r>
      <w:r>
        <w:t xml:space="preserve">= 0.82 or larger.  The measures Holm tests later in the sequence are tested at a higher level, so these figures are the conservative bound.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as the corpus is (Section 1.2(b)), with one difference: a command that exits non-zero is kept, not excluded, and labeled from its before-and-after difference, since in use a failed command’s partial effects are real.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with Holm’s correction across the four;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2026-10-12T14:15:01Z</dcterms:created>
  <dcterms:modified xsi:type="dcterms:W3CDTF">2026-10-12T14:15:01Z</dcterms:modified>
</cp:coreProperties>
</file>

<file path=docProps/custom.xml><?xml version="1.0" encoding="utf-8"?>
<Properties xmlns="http://schemas.openxmlformats.org/officeDocument/2006/custom-properties" xmlns:vt="http://schemas.openxmlformats.org/officeDocument/2006/docPropsVTypes"/>
</file>