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105</w:t>
      </w:r>
    </w:p>
    <w:p>
      <w:pPr>
        <w:pStyle w:val="BodyText"/>
        <w:tabs>
          <w:tab w:val="right" w:leader="dot" w:pos="9350"/>
        </w:tabs>
      </w:pPr>
      <w:hyperlink w:anchor="sec-appendices">
        <w:r>
          <w:rPr/>
          <w:t xml:space="preserve">APPENDICES</w:t>
        </w:r>
      </w:hyperlink>
      <w:r>
        <w:tab/>
      </w:r>
      <w:r>
        <w:t xml:space="preserve">112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90</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95</w:t>
      </w:r>
    </w:p>
    <w:p>
      <w:pPr>
        <w:pStyle w:val="BodyText"/>
        <w:tabs>
          <w:tab w:val="right" w:leader="dot" w:pos="9350"/>
        </w:tabs>
      </w:pPr>
      <w:hyperlink w:anchor="appendix-c">
        <w:r>
          <w:rPr/>
          <w:t xml:space="preserve">Table C.1: Custom cross-platform task suite — core tasks</w:t>
        </w:r>
      </w:hyperlink>
      <w:r>
        <w:tab/>
      </w:r>
      <w:r>
        <w:t xml:space="preserve">115</w:t>
      </w:r>
    </w:p>
    <w:p>
      <w:pPr>
        <w:pStyle w:val="BodyText"/>
        <w:tabs>
          <w:tab w:val="right" w:leader="dot" w:pos="9350"/>
        </w:tabs>
      </w:pPr>
      <w:hyperlink w:anchor="appendix-c">
        <w:r>
          <w:rPr/>
          <w:t xml:space="preserve">Table C.2: Boundary tasks — outside shell expressibility</w:t>
        </w:r>
      </w:hyperlink>
      <w:r>
        <w:tab/>
      </w:r>
      <w:r>
        <w:t xml:space="preserve">117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all fixed, none triggered by any command in the corpus, so that re-running it changed no decision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6/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capturing what would be lost so that undo restores it, and asking far less often, both of which composition and resolution make possible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destructive: nothing restores it unless what it removes was captured before the first run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it asks only where a command is not shown to be recoverable.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[38],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from what the algorithm claims, and its methods are stated first.  Its 450 human-written commands are drawn from a public dataset of natural-language descriptions paired with Bash commands, NL2Bash [24], so that part of it is not written by the people who wrote the analysis; the rest are templates written for the study and commands that act outside the filesystem (Chapter 3, Section 1.2(a)); and it is stratified by the label each command must carry so that the rare destructive commands are present in number.  Of its 777 commands, the 697 that act on files have ground truth observed rather than judged, by executing each in a sandbox and comparing the filesystem before and after, in the way that executable semantics of the shell are validated against what shells actually do [12] and that Westenfelder and colleagues judge whether a generated Bash command does what was intended [47]; the 80 that act outside the filesystem are labeled from a fixed table of state-changing tools.  Its comparisons are paired, because every system is scored on the same commands, and use the standard tests for paired proportions: McNemar’s exact test on the commands two systems handle differently, Wilson intervals for each proportion and Newcombe intervals for each difference, and Holm’s correction across each family of tests.  And its claim that composition and resolution, rather than the rule table, produce the result is tested by ablation: the analysis is rerun with each part switched off and the table kept.  Chapter 3, Sections 3.1 and 3.2 give the details.</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6/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is given the first that applies, in the order hidden, run-time, chain, redirect, single; and the shape follows the syntax alone, so a program the rule table does not model is classed by how it is written, not by why the analysis asks about it, which is why the 34 losses the analysis asked about are counted differently by cause and by shape in Section 3.1(d).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where the resulting state differs from the expected one only in ways the task did not ask about, decided by a written equivalence rubric fixed before data collection and applied by two members of the team independently, disagreements settled by discussion and the number of cases decided this way reported;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Its difference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condition term of each of these models is the confirmatory test for its measure, with Holm’s correction across the four; the paired tests above are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2026-10-12T13:55:51Z</dcterms:created>
  <dcterms:modified xsi:type="dcterms:W3CDTF">2026-10-12T13:55:51Z</dcterms:modified>
</cp:coreProperties>
</file>

<file path=docProps/custom.xml><?xml version="1.0" encoding="utf-8"?>
<Properties xmlns="http://schemas.openxmlformats.org/officeDocument/2006/custom-properties" xmlns:vt="http://schemas.openxmlformats.org/officeDocument/2006/docPropsVTypes"/>
</file>