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Growth Pod Analytics Memo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NewtonX Expert Supply Analysis — Jan–Dec 2024</w:t>
      </w:r>
    </w:p>
    <w:p>
      <w:pPr>
        <w:pBdr>
          <w:bottom w:val="single" w:color="6c72cb" w:sz="6"/>
        </w:pBdr>
        <w:spacing w:after="4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for: Growth PM, Marketing Lead, VP of Product</w:t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Over 2024, NewtonX acquired 12,000 expert signups across six channels, of which 1,348 (11.2%) reached activation (first paid engagement).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biggest funnel bottleneck is the Signup → Profile Started transition, where 29% of experts are lost. </w:t>
      </w:r>
      <w:r>
        <w:rPr>
          <w:rFonts w:ascii="Arial" w:cs="Arial" w:eastAsia="Arial" w:hAnsi="Arial"/>
          <w:sz w:val="22"/>
          <w:szCs w:val="22"/>
        </w:rPr>
        <w:t xml:space="preserve">Referral (23.5% activation) and LinkedIn Outreach (16.4%) dramatically outperform paid search (7.1%) and paid social (3.7%) on both conversion and cost efficiency.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Our top recommendation is to scale the referral program and LinkedIn outreach while aggressively optimizing or reducing paid social spend, which currently runs a 0.10x LTV:CAC — well below breakeven.</w:t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Funnel Insights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full funnel tells a clear story of progressive attrition with two critical chokepoints: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700"/>
        <w:gridCol w:w="1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From Previous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From Signup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Drop-off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Profile Started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8,529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71.1%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71.1%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3,471 lost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Profile 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6,055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71.0%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50.5%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2,474 lost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Verif. 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3,734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61.7%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31.1%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2,321 lost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3,206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26.7%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528 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1,348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11.2%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1,858 lost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Hypotheses for the key drop-offs: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Signup → Profile Started (29% loss): </w:t>
      </w:r>
      <w:r>
        <w:rPr>
          <w:rFonts w:ascii="Arial" w:cs="Arial" w:eastAsia="Arial" w:hAnsi="Arial"/>
          <w:sz w:val="22"/>
          <w:szCs w:val="22"/>
        </w:rPr>
        <w:t xml:space="preserve">Onboarding friction. Experts may not understand the value proposition or find the profile form daunting. 3,235 experts literally never clicked beyond signup. This is the single largest addressable opportunity.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 Completed → Verification Submitted (39% loss): </w:t>
      </w:r>
      <w:r>
        <w:rPr>
          <w:rFonts w:ascii="Arial" w:cs="Arial" w:eastAsia="Arial" w:hAnsi="Arial"/>
          <w:sz w:val="22"/>
          <w:szCs w:val="22"/>
        </w:rPr>
        <w:t xml:space="preserve">Experts may not realize they need to submit for verification, or the verification requirements feel burdensome. This suggests a UX/messaging gap between completing a profile and understanding the next step.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Verified → Activated (58% loss): </w:t>
      </w:r>
      <w:r>
        <w:rPr>
          <w:rFonts w:ascii="Arial" w:cs="Arial" w:eastAsia="Arial" w:hAnsi="Arial"/>
          <w:sz w:val="22"/>
          <w:szCs w:val="22"/>
        </w:rPr>
        <w:t xml:space="preserve">The 1,858 verified-but-not-activated experts represent supply that cleared our quality bar but never got matched. This is likely a demand-side constraint — we may not have enough projects matching their expertise areas.</w:t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Channel Recommendations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Scale aggressively: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Referral: </w:t>
      </w:r>
      <w:r>
        <w:rPr>
          <w:rFonts w:ascii="Arial" w:cs="Arial" w:eastAsia="Arial" w:hAnsi="Arial"/>
          <w:sz w:val="22"/>
          <w:szCs w:val="22"/>
        </w:rPr>
        <w:t xml:space="preserve">23.5% activation rate at zero acquisition cost. The referral_program campaign alone drove 2,046 signups with the highest quality experts (measured by payout volume). Invest in referral incentives, make the referral flow more prominent, and consider tiered rewards.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 Outreach: </w:t>
      </w:r>
      <w:r>
        <w:rPr>
          <w:rFonts w:ascii="Arial" w:cs="Arial" w:eastAsia="Arial" w:hAnsi="Arial"/>
          <w:sz w:val="22"/>
          <w:szCs w:val="22"/>
        </w:rPr>
        <w:t xml:space="preserve">16.4% activation at $560 CPA with a 1.17x LTV:CAC — the only paid channel above breakeven. The outreach_finance (18.9% activation), outreach_tech (16.7%), and outreach_healthcare (15.4%) campaigns are all strong. Scale budget here.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Optimize: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Paid Search: </w:t>
      </w:r>
      <w:r>
        <w:rPr>
          <w:rFonts w:ascii="Arial" w:cs="Arial" w:eastAsia="Arial" w:hAnsi="Arial"/>
          <w:sz w:val="22"/>
          <w:szCs w:val="22"/>
        </w:rPr>
        <w:t xml:space="preserve">7.1% activation rate with $4,163 CPA and 0.15x LTV:CAC. The brand_search_q1 campaign is a necessary defensive spend, but generic/competitor campaigns need tighter targeting or should be paused.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Organic: </w:t>
      </w:r>
      <w:r>
        <w:rPr>
          <w:rFonts w:ascii="Arial" w:cs="Arial" w:eastAsia="Arial" w:hAnsi="Arial"/>
          <w:sz w:val="22"/>
          <w:szCs w:val="22"/>
        </w:rPr>
        <w:t xml:space="preserve">13.9% activation at zero cost. Invest in SEO and content marketing to grow this channel — it has the second-best quality after referral.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Reduce or pause: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Paid Social: </w:t>
      </w:r>
      <w:r>
        <w:rPr>
          <w:rFonts w:ascii="Arial" w:cs="Arial" w:eastAsia="Arial" w:hAnsi="Arial"/>
          <w:sz w:val="22"/>
          <w:szCs w:val="22"/>
        </w:rPr>
        <w:t xml:space="preserve">3.7% activation at $6,154 CPA and 0.10x LTV:CAC. This channel is burning ~$474K/year to produce 77 activated experts. Even with optimization, the unit economics are dire. Recommend reducing to retargeting-only and reallocating budget to LinkedIn outreach.</w:t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Quality Flags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Unknown source (~15%): </w:t>
      </w:r>
      <w:r>
        <w:rPr>
          <w:rFonts w:ascii="Arial" w:cs="Arial" w:eastAsia="Arial" w:hAnsi="Arial"/>
          <w:sz w:val="22"/>
          <w:szCs w:val="22"/>
        </w:rPr>
        <w:t xml:space="preserve">1,841 experts (15.3%) have signup_source = 'unknown'. These likely result from UTM parameter stripping (ad blockers, redirect chains, or iOS privacy features). Recommendation: implement server-side tracking and first-party cookies to reduce this bucket. The unknown segment also has an anomalously low 2.0% activation rate, which may indicate bot signups or tracking-only issues.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Out-of-order timestamps: </w:t>
      </w:r>
      <w:r>
        <w:rPr>
          <w:rFonts w:ascii="Arial" w:cs="Arial" w:eastAsia="Arial" w:hAnsi="Arial"/>
          <w:sz w:val="22"/>
          <w:szCs w:val="22"/>
        </w:rPr>
        <w:t xml:space="preserve">The data notes warn of occasional timestamp ordering issues. Our dbt models handle this by using event_name (not timestamp order) to define funnel stages, taking the MIN timestamp per stage. This is defensive but means we cannot reliably compute precise stage-to-stage durations.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Right-censoring in Q4 cohorts: </w:t>
      </w:r>
      <w:r>
        <w:rPr>
          <w:rFonts w:ascii="Arial" w:cs="Arial" w:eastAsia="Arial" w:hAnsi="Arial"/>
          <w:sz w:val="22"/>
          <w:szCs w:val="22"/>
        </w:rPr>
        <w:t xml:space="preserve">Activation rates for Nov–Dec 2024 cohorts appear low because those experts haven't had a full 60-day window yet. The Q3 vs Q4 comparison should be interpreted cautiously — the Q4 dip may partially be a data maturity issue rather than a true performance decline.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Null UTM fields: </w:t>
      </w:r>
      <w:r>
        <w:rPr>
          <w:rFonts w:ascii="Arial" w:cs="Arial" w:eastAsia="Arial" w:hAnsi="Arial"/>
          <w:sz w:val="22"/>
          <w:szCs w:val="22"/>
        </w:rPr>
        <w:t xml:space="preserve">utm_campaign is null for 3,873 experts (32%). This is expected for organic and unknown sources, but any nulls in paid channel experts would indicate broken campaign tracking.</w:t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Suggested Experiments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Experiment 1: Simplified Onboarding (Signup → Profile Started)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Hypothesis: Reducing the initial profile form to 3 essential fields (name, industry, expertise) will increase Signup → Profile Started conversion.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Design: A/B test — 50/50 split of new signups. Control sees current full form; variant sees abbreviated form with a 'complete later' option.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Success metric: Profile Started rate (target: +10pp, from 71% to 81%). Guardrails: Profile Completed rate should not drop by more than 5pp; verification approval rate should remain within 2pp.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Experiment 2: Referral Incentive Boost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Hypothesis: Doubling the referral reward (or adding a two-sided reward) will increase referral volume without degrading quality.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Design: Time-based test — 4 weeks baseline, 4 weeks with enhanced incentive. Track via referral_program campaign tag.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Success metric: 25%+ increase in referral signups while maintaining &gt;20% activation rate. Guardrails: Cost per activated referral should stay under $200 (including incentive payouts); activation rate must not drop below 18%.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Experiment 3: Post-Verification Nudge Sequence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Hypothesis: A targeted email/SMS sequence to verified-but-not-activated experts, highlighting available projects in their industry, will increase the Verified → Activated conversion.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Design: A/B test — 50/50 of newly verified experts. Control receives current communications; variant receives a 3-touch sequence at days 3, 7, and 14 post-verification.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Success metric: Verified → Activated rate (target: +8pp, from 42% to 50%). Guardrails: Unsubscribe rate should not exceed 5%; first engagement quality (measured by payout amount) should remain within 10% of baseline.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rFonts w:ascii="Arial" w:cs="Arial" w:eastAsia="Arial" w:hAnsi="Arial"/>
      <w:b/>
      <w:bCs/>
      <w:color w:val="1a1d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2026-03-12T16:02:23.206Z</dcterms:created>
  <dcterms:modified xsi:type="dcterms:W3CDTF">2026-03-12T16:02:23.207Z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