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751242" w:rsidP="0008729A">
      <w:pPr>
        <w:jc w:val="center"/>
        <w:rPr>
          <w:rFonts w:eastAsiaTheme="minorEastAsia"/>
        </w:rPr>
      </w:pPr>
      <w:r>
        <w:rPr>
          <w:rFonts w:eastAsiaTheme="minorEastAsia"/>
        </w:rPr>
        <w:t>(Includes new 2018 tax</w:t>
      </w:r>
      <w:r w:rsidR="005D633B">
        <w:rPr>
          <w:rFonts w:eastAsiaTheme="minorEastAsia"/>
        </w:rPr>
        <w:t xml:space="preserve"> code)</w:t>
      </w:r>
    </w:p>
    <w:p w:rsidR="00E82D26" w:rsidRDefault="0008729A" w:rsidP="00A95BB2">
      <w:pPr>
        <w:rPr>
          <w:rFonts w:eastAsiaTheme="minorEastAsia"/>
        </w:rPr>
      </w:pPr>
      <w:r>
        <w:rPr>
          <w:rFonts w:eastAsiaTheme="minorEastAsia"/>
        </w:rPr>
        <w:t xml:space="preserve">Introduction: </w:t>
      </w:r>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 xml:space="preserve">an optimal plan for retirement that, in many cases, can be worth tens of or even hundreds of thousands of dollars. </w:t>
      </w:r>
      <w:r>
        <w:t xml:space="preserve">The financial community has understood for a long time that our specific withdrawal patterns can make a significant impact on the amount available to us and how long our funds will last. </w:t>
      </w:r>
      <w:r w:rsidR="006F0B50">
        <w:t>Four</w:t>
      </w:r>
      <w:r w:rsidR="002066B8">
        <w:t xml:space="preserv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DC7B51" w:rsidRDefault="00DC7B51" w:rsidP="002066B8">
      <w:pPr>
        <w:pStyle w:val="ListParagraph"/>
        <w:numPr>
          <w:ilvl w:val="0"/>
          <w:numId w:val="3"/>
        </w:numPr>
      </w:pPr>
      <w:r>
        <w:t>A 3-Step Procedure for computing sustainable retirement savings withdrawals</w:t>
      </w:r>
      <w:r>
        <w:rPr>
          <w:rStyle w:val="FootnoteReference"/>
        </w:rPr>
        <w:footnoteReference w:id="5"/>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proofErr w:type="spellStart"/>
      <w:r w:rsidR="00756B10">
        <w:rPr>
          <w:rFonts w:eastAsiaTheme="minorEastAsia"/>
        </w:rPr>
        <w:t>toml</w:t>
      </w:r>
      <w:proofErr w:type="spellEnd"/>
      <w:r>
        <w:rPr>
          <w:rFonts w:eastAsiaTheme="minorEastAsia"/>
        </w:rPr>
        <w:t xml:space="preserve"> or </w:t>
      </w:r>
      <w:proofErr w:type="spellStart"/>
      <w:r>
        <w:rPr>
          <w:rFonts w:eastAsiaTheme="minorEastAsia"/>
        </w:rPr>
        <w:t>strmap</w:t>
      </w:r>
      <w:proofErr w:type="spellEnd"/>
      <w:r w:rsidR="00756B10">
        <w:rPr>
          <w:rFonts w:eastAsiaTheme="minorEastAsia"/>
        </w:rPr>
        <w:t xml:space="preserve">. The package include some example </w:t>
      </w:r>
      <w:proofErr w:type="spellStart"/>
      <w:r w:rsidR="00756B10">
        <w:rPr>
          <w:rFonts w:eastAsiaTheme="minorEastAsia"/>
        </w:rPr>
        <w:t>toml</w:t>
      </w:r>
      <w:proofErr w:type="spellEnd"/>
      <w:r w:rsidR="00756B10">
        <w:rPr>
          <w:rFonts w:eastAsiaTheme="minorEastAsia"/>
        </w:rPr>
        <w:t xml:space="preserve">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w:t>
      </w:r>
      <w:r w:rsidR="006C6DEC">
        <w:rPr>
          <w:rFonts w:eastAsiaTheme="minorEastAsia"/>
        </w:rPr>
        <w:lastRenderedPageBreak/>
        <w:t xml:space="preserve">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However, no checking is being applied in the pre-plan period for meeting IRS rules.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w:t>
      </w:r>
      <w:proofErr w:type="spellStart"/>
      <w:r w:rsidR="00AF43D6">
        <w:rPr>
          <w:rFonts w:eastAsiaTheme="minorEastAsia"/>
        </w:rPr>
        <w:t>toml</w:t>
      </w:r>
      <w:proofErr w:type="spellEnd"/>
      <w:r w:rsidR="00AF43D6">
        <w:rPr>
          <w:rFonts w:eastAsiaTheme="minorEastAsia"/>
        </w:rPr>
        <w:t xml:space="preserve">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Pr>
          <w:rFonts w:eastAsiaTheme="minorEastAsia"/>
        </w:rPr>
        <w:t xml:space="preserve">)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w:t>
      </w:r>
      <w:r>
        <w:rPr>
          <w:rFonts w:eastAsiaTheme="minorEastAsia"/>
        </w:rPr>
        <w:lastRenderedPageBreak/>
        <w:t xml:space="preserve">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941945">
        <w:rPr>
          <w:rFonts w:eastAsiaTheme="minorEastAsia"/>
        </w:rPr>
        <w:t>RO</w:t>
      </w:r>
      <w:r w:rsidR="00256CA0">
        <w:rPr>
          <w:rFonts w:eastAsiaTheme="minorEastAsia"/>
        </w:rPr>
        <w:t>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941945">
        <w:rPr>
          <w:rFonts w:eastAsiaTheme="minorEastAsia"/>
        </w:rPr>
        <w:t>RO</w:t>
      </w:r>
      <w:r w:rsidR="00256CA0">
        <w:rPr>
          <w:rFonts w:eastAsiaTheme="minorEastAsia"/>
        </w:rPr>
        <w:t>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 xml:space="preserve">.exe </w:t>
      </w:r>
      <w:proofErr w:type="spellStart"/>
      <w:r w:rsidR="00256CA0">
        <w:rPr>
          <w:rFonts w:eastAsiaTheme="minorEastAsia"/>
        </w:rPr>
        <w:t>try</w:t>
      </w:r>
      <w:r w:rsidR="00FD0945">
        <w:rPr>
          <w:rFonts w:eastAsiaTheme="minorEastAsia"/>
        </w:rPr>
        <w:t>.toml</w:t>
      </w:r>
      <w:proofErr w:type="spellEnd"/>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w:t>
      </w:r>
      <w:proofErr w:type="spellStart"/>
      <w:r w:rsidR="00C42800">
        <w:rPr>
          <w:rFonts w:eastAsiaTheme="minorEastAsia"/>
        </w:rPr>
        <w:t>fIRA</w:t>
      </w:r>
      <w:proofErr w:type="spellEnd"/>
      <w:r w:rsidR="00C42800">
        <w:rPr>
          <w:rFonts w:eastAsiaTheme="minorEastAsia"/>
        </w:rPr>
        <w:t>)</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w:t>
      </w:r>
      <w:proofErr w:type="spellStart"/>
      <w:r w:rsidR="003B1583">
        <w:rPr>
          <w:rFonts w:eastAsiaTheme="minorEastAsia"/>
        </w:rPr>
        <w:t>RMD</w:t>
      </w:r>
      <w:r w:rsidR="00CE7164">
        <w:rPr>
          <w:rFonts w:eastAsiaTheme="minorEastAsia"/>
        </w:rPr>
        <w:t>ref</w:t>
      </w:r>
      <w:proofErr w:type="spellEnd"/>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C42800" w:rsidP="00256CA0">
      <w:pPr>
        <w:rPr>
          <w:rFonts w:eastAsiaTheme="minorEastAsia"/>
        </w:rPr>
      </w:pPr>
      <w:r>
        <w:rPr>
          <w:noProof/>
        </w:rPr>
        <w:drawing>
          <wp:inline distT="0" distB="0" distL="0" distR="0" wp14:anchorId="24DC9530" wp14:editId="3D542AC7">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4405"/>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lastRenderedPageBreak/>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C42800" w:rsidP="00256CA0">
      <w:pPr>
        <w:rPr>
          <w:rFonts w:eastAsiaTheme="minorEastAsia"/>
        </w:rPr>
      </w:pPr>
      <w:r>
        <w:rPr>
          <w:noProof/>
        </w:rPr>
        <w:drawing>
          <wp:inline distT="0" distB="0" distL="0" distR="0" wp14:anchorId="71AB4E10" wp14:editId="2315CFC6">
            <wp:extent cx="59436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135"/>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proofErr w:type="spellStart"/>
      <w:r w:rsidR="00BC3DB3">
        <w:rPr>
          <w:rFonts w:eastAsiaTheme="minorEastAsia"/>
        </w:rPr>
        <w:t>i</w:t>
      </w:r>
      <w:proofErr w:type="spellEnd"/>
      <w:r w:rsidR="00BC3DB3">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lastRenderedPageBreak/>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 xml:space="preserve">ch given on the command line causes the account transaction summary to be printed as here below. Only one account is documented because only one account is specified in </w:t>
      </w:r>
      <w:proofErr w:type="spellStart"/>
      <w:r w:rsidR="003B1583">
        <w:rPr>
          <w:rFonts w:eastAsiaTheme="minorEastAsia"/>
        </w:rPr>
        <w:t>try.toml</w:t>
      </w:r>
      <w:proofErr w:type="spellEnd"/>
      <w:r w:rsidR="003B1583">
        <w:rPr>
          <w:rFonts w:eastAsiaTheme="minorEastAsia"/>
        </w:rPr>
        <w:t>. In addition to the withdrawal (</w:t>
      </w:r>
      <w:proofErr w:type="spellStart"/>
      <w:r w:rsidR="003B1583">
        <w:rPr>
          <w:rFonts w:eastAsiaTheme="minorEastAsia"/>
        </w:rPr>
        <w:t>fIRA</w:t>
      </w:r>
      <w:proofErr w:type="spellEnd"/>
      <w:r w:rsidR="003B1583">
        <w:rPr>
          <w:rFonts w:eastAsiaTheme="minorEastAsia"/>
        </w:rPr>
        <w:t>), deposit (</w:t>
      </w:r>
      <w:proofErr w:type="spellStart"/>
      <w:r w:rsidR="003B1583">
        <w:rPr>
          <w:rFonts w:eastAsiaTheme="minorEastAsia"/>
        </w:rPr>
        <w:t>tIRA</w:t>
      </w:r>
      <w:proofErr w:type="spellEnd"/>
      <w:r w:rsidR="003B1583">
        <w:rPr>
          <w:rFonts w:eastAsiaTheme="minorEastAsia"/>
        </w:rPr>
        <w:t>) and RMD reference (</w:t>
      </w:r>
      <w:proofErr w:type="spellStart"/>
      <w:r w:rsidR="003B1583">
        <w:rPr>
          <w:rFonts w:eastAsiaTheme="minorEastAsia"/>
        </w:rPr>
        <w:t>RDMref</w:t>
      </w:r>
      <w:proofErr w:type="spellEnd"/>
      <w:r w:rsidR="003B1583">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lastRenderedPageBreak/>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sidR="00EE16A4">
        <w:rPr>
          <w:rFonts w:eastAsiaTheme="minorEastAsia"/>
        </w:rPr>
        <w:t xml:space="preserve"> are displayed whenever –</w:t>
      </w:r>
      <w:r>
        <w:rPr>
          <w:rFonts w:eastAsiaTheme="minorEastAsia"/>
        </w:rPr>
        <w: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2C01C9" w:rsidRDefault="002C01C9" w:rsidP="00256CA0">
      <w:pPr>
        <w:rPr>
          <w:rFonts w:eastAsiaTheme="minorEastAsia"/>
        </w:rPr>
      </w:pPr>
      <w:r>
        <w:rPr>
          <w:noProof/>
        </w:rPr>
        <w:lastRenderedPageBreak/>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JointExample.toml</w:t>
      </w:r>
      <w:proofErr w:type="spellEnd"/>
    </w:p>
    <w:p w:rsidR="00256CA0" w:rsidRPr="0017537B" w:rsidRDefault="00EE16A4" w:rsidP="00A95BB2">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EE16A4" w:rsidP="00A95BB2">
      <w:pPr>
        <w:rPr>
          <w:rFonts w:eastAsiaTheme="minorEastAsia"/>
        </w:rPr>
      </w:pPr>
      <w:r>
        <w:rPr>
          <w:noProof/>
        </w:rPr>
        <w:drawing>
          <wp:inline distT="0" distB="0" distL="0" distR="0" wp14:anchorId="70CE37ED" wp14:editId="3E0A67D1">
            <wp:extent cx="5943600" cy="185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356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6"/>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w:t>
      </w:r>
      <w:r w:rsidR="00E542D4">
        <w:rPr>
          <w:rFonts w:ascii="Courier New" w:hAnsi="Courier New" w:cs="Courier New"/>
        </w:rPr>
        <w:t>ly inflation rate, defaults to 2.5</w:t>
      </w:r>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w:t>
      </w:r>
      <w:r w:rsidR="00177814">
        <w:rPr>
          <w:rFonts w:ascii="Courier New" w:hAnsi="Courier New" w:cs="Courier New"/>
        </w:rPr>
        <w:t xml:space="preserve"> or 0</w:t>
      </w:r>
      <w:r w:rsidRPr="00A34D8E">
        <w:rPr>
          <w:rFonts w:ascii="Courier New" w:hAnsi="Courier New" w:cs="Courier New"/>
        </w:rPr>
        <w:t xml:space="preserve">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r w:rsidR="00E21D4B">
        <w:rPr>
          <w:rFonts w:ascii="Courier New" w:hAnsi="Courier New" w:cs="Courier New"/>
        </w:rPr>
        <w:t xml:space="preserve"> (default false)</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r w:rsidR="00AC0FFD">
        <w:rPr>
          <w:rFonts w:ascii="Courier New" w:hAnsi="Courier New" w:cs="Courier New"/>
        </w:rPr>
        <w:t xml:space="preserve"> (default false)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r w:rsidR="00E21D4B">
        <w:rPr>
          <w:rFonts w:ascii="Courier New" w:hAnsi="Courier New" w:cs="Courier New"/>
        </w:rPr>
        <w:t xml:space="preserve"> (default false)</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r w:rsidR="00AC0FFD">
        <w:rPr>
          <w:rFonts w:ascii="Courier New" w:hAnsi="Courier New" w:cs="Courier New"/>
        </w:rPr>
        <w:t xml:space="preserve"> </w:t>
      </w:r>
      <w:r w:rsidR="00AC0FFD">
        <w:rPr>
          <w:rFonts w:ascii="Courier New" w:hAnsi="Courier New" w:cs="Courier New"/>
        </w:rPr>
        <w:t>(default false)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lastRenderedPageBreak/>
        <w:t>inflation</w:t>
      </w:r>
      <w:proofErr w:type="gramEnd"/>
      <w:r w:rsidRPr="008A4AD2">
        <w:rPr>
          <w:rFonts w:ascii="Courier New" w:hAnsi="Courier New" w:cs="Courier New"/>
        </w:rPr>
        <w:t xml:space="preserve"> = false   # payment is not inflation adjusted</w:t>
      </w:r>
      <w:r w:rsidR="00E21D4B">
        <w:rPr>
          <w:rFonts w:ascii="Courier New" w:hAnsi="Courier New" w:cs="Courier New"/>
        </w:rPr>
        <w:t xml:space="preserve"> (default false)</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r w:rsidR="00AC0FFD">
        <w:rPr>
          <w:rFonts w:ascii="Courier New" w:hAnsi="Courier New" w:cs="Courier New"/>
        </w:rPr>
        <w:t xml:space="preserve"> </w:t>
      </w:r>
      <w:r w:rsidR="00AC0FFD">
        <w:rPr>
          <w:rFonts w:ascii="Courier New" w:hAnsi="Courier New" w:cs="Courier New"/>
        </w:rPr>
        <w:t>(default false)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r w:rsidR="00E21D4B">
        <w:rPr>
          <w:rFonts w:ascii="Courier New" w:hAnsi="Courier New" w:cs="Courier New"/>
        </w:rPr>
        <w:t xml:space="preserve"> (default false)</w:t>
      </w:r>
    </w:p>
    <w:p w:rsidR="00626C2A" w:rsidRDefault="00626C2A" w:rsidP="00626C2A">
      <w:pPr>
        <w:rPr>
          <w:rFonts w:ascii="Courier New" w:hAnsi="Courier New" w:cs="Courier New"/>
        </w:rPr>
      </w:pPr>
      <w:r w:rsidRPr="00A34D8E">
        <w:rPr>
          <w:rFonts w:ascii="Courier New" w:hAnsi="Courier New" w:cs="Courier New"/>
        </w:rPr>
        <w:t>#tax = true         # federally taxable</w:t>
      </w:r>
      <w:r w:rsidR="00AC0FFD">
        <w:rPr>
          <w:rFonts w:ascii="Courier New" w:hAnsi="Courier New" w:cs="Courier New"/>
        </w:rPr>
        <w:t xml:space="preserve"> </w:t>
      </w:r>
      <w:r w:rsidR="00AC0FFD">
        <w:rPr>
          <w:rFonts w:ascii="Courier New" w:hAnsi="Courier New" w:cs="Courier New"/>
        </w:rPr>
        <w:t>(default false)</w:t>
      </w:r>
      <w:bookmarkStart w:id="0" w:name="_GoBack"/>
      <w:bookmarkEnd w:id="0"/>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7"/>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w:t>
      </w:r>
      <w:r w:rsidR="00E21D4B">
        <w:rPr>
          <w:rFonts w:ascii="Courier New" w:hAnsi="Courier New" w:cs="Courier New"/>
        </w:rPr>
        <w:t>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B4B" w:rsidRDefault="00A04B4B" w:rsidP="00A95BB2">
      <w:pPr>
        <w:spacing w:after="0" w:line="240" w:lineRule="auto"/>
      </w:pPr>
      <w:r>
        <w:separator/>
      </w:r>
    </w:p>
  </w:endnote>
  <w:endnote w:type="continuationSeparator" w:id="0">
    <w:p w:rsidR="00A04B4B" w:rsidRDefault="00A04B4B"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AC0FFD">
          <w:rPr>
            <w:noProof/>
          </w:rPr>
          <w:t>13</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B4B" w:rsidRDefault="00A04B4B" w:rsidP="00A95BB2">
      <w:pPr>
        <w:spacing w:after="0" w:line="240" w:lineRule="auto"/>
      </w:pPr>
      <w:r>
        <w:separator/>
      </w:r>
    </w:p>
  </w:footnote>
  <w:footnote w:type="continuationSeparator" w:id="0">
    <w:p w:rsidR="00A04B4B" w:rsidRDefault="00A04B4B" w:rsidP="00A95BB2">
      <w:pPr>
        <w:spacing w:after="0" w:line="240" w:lineRule="auto"/>
      </w:pPr>
      <w:r>
        <w:continuationSeparator/>
      </w:r>
    </w:p>
  </w:footnote>
  <w:footnote w:id="1">
    <w:p w:rsidR="002C6155" w:rsidRDefault="002C6155">
      <w:pPr>
        <w:pStyle w:val="FootnoteText"/>
      </w:pPr>
      <w:r>
        <w:rPr>
          <w:rStyle w:val="FootnoteReference"/>
        </w:rPr>
        <w:footnoteRef/>
      </w:r>
      <w:r>
        <w:t xml:space="preserve"> </w:t>
      </w:r>
      <w:r w:rsidR="005D3F43">
        <w:t xml:space="preserve">This document is for the </w:t>
      </w:r>
      <w:proofErr w:type="spellStart"/>
      <w:r w:rsidR="005D3F43">
        <w:t>G</w:t>
      </w:r>
      <w:r>
        <w:t>olang</w:t>
      </w:r>
      <w:proofErr w:type="spellEnd"/>
      <w:r>
        <w:t xml:space="preserve"> version of the Retirement Planner. Earlier versions where for the python prototype. </w:t>
      </w:r>
    </w:p>
  </w:footnote>
  <w:footnote w:id="2">
    <w:p w:rsidR="002066B8" w:rsidRDefault="002066B8">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2066B8" w:rsidRPr="002066B8" w:rsidRDefault="002066B8">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2066B8" w:rsidRDefault="002066B8">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DC7B51" w:rsidRDefault="00DC7B51">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p>
  </w:footnote>
  <w:footnote w:id="6">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885B4F" w:rsidRDefault="00885B4F">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15D3F"/>
    <w:rsid w:val="00030E3C"/>
    <w:rsid w:val="00034FDE"/>
    <w:rsid w:val="00056F0A"/>
    <w:rsid w:val="000704C4"/>
    <w:rsid w:val="00076CA1"/>
    <w:rsid w:val="0008729A"/>
    <w:rsid w:val="000B2A8C"/>
    <w:rsid w:val="000C3DA2"/>
    <w:rsid w:val="000C535F"/>
    <w:rsid w:val="000C7C36"/>
    <w:rsid w:val="000F2940"/>
    <w:rsid w:val="001038FC"/>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C01C9"/>
    <w:rsid w:val="002C3628"/>
    <w:rsid w:val="002C6155"/>
    <w:rsid w:val="002E087E"/>
    <w:rsid w:val="002E4673"/>
    <w:rsid w:val="002E6F5A"/>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D3F43"/>
    <w:rsid w:val="005D633B"/>
    <w:rsid w:val="005F38D4"/>
    <w:rsid w:val="00626C2A"/>
    <w:rsid w:val="006577E1"/>
    <w:rsid w:val="00687E76"/>
    <w:rsid w:val="006C6DEC"/>
    <w:rsid w:val="006E08D5"/>
    <w:rsid w:val="006F0B50"/>
    <w:rsid w:val="00733800"/>
    <w:rsid w:val="00733ECF"/>
    <w:rsid w:val="00751242"/>
    <w:rsid w:val="007513C2"/>
    <w:rsid w:val="00756B10"/>
    <w:rsid w:val="00761DD1"/>
    <w:rsid w:val="00770B76"/>
    <w:rsid w:val="007A5DBF"/>
    <w:rsid w:val="007D0329"/>
    <w:rsid w:val="007E7B92"/>
    <w:rsid w:val="008774F2"/>
    <w:rsid w:val="00884A49"/>
    <w:rsid w:val="00885B4F"/>
    <w:rsid w:val="008A4AD2"/>
    <w:rsid w:val="008C6DE9"/>
    <w:rsid w:val="008D590F"/>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F45B4"/>
    <w:rsid w:val="00A04B4B"/>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C0FFD"/>
    <w:rsid w:val="00AD2682"/>
    <w:rsid w:val="00AD511C"/>
    <w:rsid w:val="00AD6C47"/>
    <w:rsid w:val="00AF23A7"/>
    <w:rsid w:val="00AF43D6"/>
    <w:rsid w:val="00B21293"/>
    <w:rsid w:val="00B26526"/>
    <w:rsid w:val="00B32858"/>
    <w:rsid w:val="00B35C3D"/>
    <w:rsid w:val="00B5799A"/>
    <w:rsid w:val="00B646E3"/>
    <w:rsid w:val="00BB15A8"/>
    <w:rsid w:val="00BC3DB3"/>
    <w:rsid w:val="00BE4005"/>
    <w:rsid w:val="00C1503E"/>
    <w:rsid w:val="00C26188"/>
    <w:rsid w:val="00C42800"/>
    <w:rsid w:val="00C64F3F"/>
    <w:rsid w:val="00CA2725"/>
    <w:rsid w:val="00CC69BB"/>
    <w:rsid w:val="00CE7164"/>
    <w:rsid w:val="00CF67BD"/>
    <w:rsid w:val="00D031B9"/>
    <w:rsid w:val="00D32796"/>
    <w:rsid w:val="00D350BC"/>
    <w:rsid w:val="00D63D93"/>
    <w:rsid w:val="00D72EB6"/>
    <w:rsid w:val="00D919FF"/>
    <w:rsid w:val="00D91E97"/>
    <w:rsid w:val="00DB194B"/>
    <w:rsid w:val="00DB3336"/>
    <w:rsid w:val="00DB5124"/>
    <w:rsid w:val="00DC77C8"/>
    <w:rsid w:val="00DC7B51"/>
    <w:rsid w:val="00DD3C37"/>
    <w:rsid w:val="00DE4C77"/>
    <w:rsid w:val="00DF46F7"/>
    <w:rsid w:val="00E141FD"/>
    <w:rsid w:val="00E21D4B"/>
    <w:rsid w:val="00E542D4"/>
    <w:rsid w:val="00E63F8F"/>
    <w:rsid w:val="00E82D26"/>
    <w:rsid w:val="00E85992"/>
    <w:rsid w:val="00E86AC2"/>
    <w:rsid w:val="00E96F5F"/>
    <w:rsid w:val="00ED28D2"/>
    <w:rsid w:val="00EE16A4"/>
    <w:rsid w:val="00EE1D53"/>
    <w:rsid w:val="00EE29BA"/>
    <w:rsid w:val="00EE315C"/>
    <w:rsid w:val="00F02B8F"/>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51BA-B168-48CB-AE62-0B01AC04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13</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cp:lastPrinted>2017-11-07T01:17:00Z</cp:lastPrinted>
  <dcterms:created xsi:type="dcterms:W3CDTF">2017-10-10T00:26:00Z</dcterms:created>
  <dcterms:modified xsi:type="dcterms:W3CDTF">2018-05-03T23:04:00Z</dcterms:modified>
</cp:coreProperties>
</file>