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6CCBC934"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using a b</w:t>
      </w:r>
      <w:r w:rsidR="00F21CD9" w:rsidRPr="00F21CD9">
        <w:rPr>
          <w:rFonts w:eastAsiaTheme="minorEastAsia"/>
          <w:vertAlign w:val="subscript"/>
        </w:rPr>
        <w:t>,</w:t>
      </w:r>
      <w:r w:rsidR="00F21CD9" w:rsidRPr="00F21CD9">
        <w:rPr>
          <w:rFonts w:eastAsiaTheme="minorEastAsia"/>
          <w:vertAlign w:val="superscript"/>
        </w:rPr>
        <w:t>tcg</w:t>
      </w:r>
      <w:r w:rsidR="00F21CD9">
        <w:rPr>
          <w:rFonts w:eastAsiaTheme="minorEastAsia"/>
        </w:rPr>
        <w:t xml:space="preserve"> that increases with each shadow bracket. </w:t>
      </w:r>
      <w:r w:rsidR="003F7965">
        <w:rPr>
          <w:rFonts w:eastAsiaTheme="minorEastAsia"/>
        </w:rPr>
        <w:t xml:space="preserve"> </w:t>
      </w:r>
      <w:r w:rsidR="00334FFC">
        <w:rPr>
          <w:rFonts w:eastAsiaTheme="minorEastAsia"/>
        </w:rPr>
        <w:t>(*** update: this is only for the shadow brackets now</w:t>
      </w:r>
      <w:r w:rsidR="008C392F">
        <w:rPr>
          <w:rFonts w:eastAsiaTheme="minorEastAsia"/>
        </w:rPr>
        <w:t>, need to update this</w:t>
      </w:r>
      <w:r w:rsidR="00334FFC">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lastRenderedPageBreak/>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41CA24F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r w:rsidR="008C392F">
        <w:rPr>
          <w:rFonts w:eastAsiaTheme="minorEastAsia"/>
        </w:rPr>
        <w:t>(</w:t>
      </w:r>
      <w:r w:rsidR="00215923">
        <w:rPr>
          <w:rFonts w:eastAsiaTheme="minorEastAsia"/>
        </w:rPr>
        <w:t>***</w:t>
      </w:r>
      <w:r w:rsidR="008C392F">
        <w:rPr>
          <w:rFonts w:eastAsiaTheme="minorEastAsia"/>
        </w:rPr>
        <w:t>Need to update this paragraph</w:t>
      </w:r>
      <w:r w:rsidR="00215923">
        <w:rPr>
          <w:rFonts w:eastAsiaTheme="minorEastAsia"/>
        </w:rPr>
        <w:t>, only have shadow brackets in S1, R1.***)</w:t>
      </w:r>
    </w:p>
    <w:p w14:paraId="3E9E9B31" w14:textId="02F8F6AB" w:rsidR="005B4E80" w:rsidRDefault="00215923" w:rsidP="00FF480D">
      <w:pPr>
        <w:tabs>
          <w:tab w:val="center" w:pos="4680"/>
          <w:tab w:val="right" w:pos="9360"/>
        </w:tabs>
        <w:rPr>
          <w:rFonts w:eastAsiaTheme="minorEastAsia"/>
        </w:rPr>
      </w:pPr>
      <w:r>
        <w:rPr>
          <w:rFonts w:eastAsiaTheme="minorEastAsia"/>
        </w:rPr>
        <w:t>+</w:t>
      </w:r>
      <w:r w:rsidR="005B4E80">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r>
        <w:rPr>
          <w:rFonts w:eastAsiaTheme="minorEastAsia"/>
        </w:rPr>
        <w:t>o</w:t>
      </w:r>
      <w:r w:rsidRPr="00813D91">
        <w:rPr>
          <w:rFonts w:eastAsiaTheme="minorEastAsia"/>
          <w:vertAlign w:val="subscript"/>
        </w:rPr>
        <w:t>i</w:t>
      </w:r>
      <w:r w:rsidRPr="00813D91">
        <w:rPr>
          <w:rFonts w:eastAsiaTheme="minorEastAsia"/>
          <w:vertAlign w:val="superscript"/>
        </w:rPr>
        <w:t>As</w:t>
      </w:r>
      <w:r>
        <w:rPr>
          <w:rFonts w:eastAsiaTheme="minorEastAsia"/>
        </w:rPr>
        <w:t xml:space="preserve"> = o</w:t>
      </w:r>
      <w:r w:rsidRPr="00813D91">
        <w:rPr>
          <w:rFonts w:eastAsiaTheme="minorEastAsia"/>
          <w:vertAlign w:val="subscript"/>
        </w:rPr>
        <w:t>i</w:t>
      </w:r>
      <w:r w:rsidRPr="00813D91">
        <w:rPr>
          <w:rFonts w:eastAsiaTheme="minorEastAsia"/>
          <w:vertAlign w:val="superscript"/>
        </w:rPr>
        <w:t>A</w:t>
      </w:r>
      <w:r>
        <w:rPr>
          <w:rFonts w:eastAsiaTheme="minorEastAsia"/>
        </w:rPr>
        <w:t xml:space="preserve"> – o</w:t>
      </w:r>
      <w:r w:rsidRPr="00813D91">
        <w:rPr>
          <w:rFonts w:eastAsiaTheme="minorEastAsia"/>
          <w:vertAlign w:val="subscript"/>
        </w:rPr>
        <w:t>i</w:t>
      </w:r>
      <w:r w:rsidRPr="00813D91">
        <w:rPr>
          <w:rFonts w:eastAsiaTheme="minorEastAsia"/>
          <w:vertAlign w:val="superscript"/>
        </w:rPr>
        <w:t>AD</w:t>
      </w:r>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Then I could add o</w:t>
      </w:r>
      <w:r w:rsidRPr="00877CE1">
        <w:rPr>
          <w:rFonts w:eastAsiaTheme="minorEastAsia"/>
          <w:vertAlign w:val="subscript"/>
        </w:rPr>
        <w:t>i</w:t>
      </w:r>
      <w:r w:rsidRPr="00877CE1">
        <w:rPr>
          <w:rFonts w:eastAsiaTheme="minorEastAsia"/>
          <w:vertAlign w:val="superscript"/>
        </w:rPr>
        <w:t>As</w:t>
      </w:r>
      <w:r>
        <w:rPr>
          <w:rFonts w:eastAsiaTheme="minorEastAsia"/>
        </w:rPr>
        <w:t xml:space="preserve"> to (2) above and remove </w:t>
      </w:r>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r w:rsidR="00962844">
        <w:rPr>
          <w:rFonts w:eastAsiaTheme="minorEastAsia"/>
        </w:rPr>
        <w:t xml:space="preserve"> from (19) below which would then to limit w</w:t>
      </w:r>
      <w:r w:rsidR="00877CE1" w:rsidRPr="00877CE1">
        <w:rPr>
          <w:rFonts w:eastAsiaTheme="minorEastAsia"/>
          <w:vertAlign w:val="subscript"/>
        </w:rPr>
        <w:t>ij</w:t>
      </w:r>
      <w:r w:rsidR="00962844">
        <w:rPr>
          <w:rFonts w:eastAsiaTheme="minorEastAsia"/>
        </w:rPr>
        <w:t xml:space="preserve"> from transferring asset sales income to s</w:t>
      </w:r>
      <w:r w:rsidR="00962844" w:rsidRPr="00877CE1">
        <w:rPr>
          <w:rFonts w:eastAsiaTheme="minorEastAsia"/>
          <w:vertAlign w:val="subscript"/>
        </w:rPr>
        <w:t>i</w:t>
      </w:r>
      <w:r w:rsidR="00962844">
        <w:rPr>
          <w:rFonts w:eastAsiaTheme="minorEastAsia"/>
        </w:rPr>
        <w:t xml:space="preserve"> and improving the tax issue (if this really works )</w:t>
      </w:r>
    </w:p>
    <w:p w14:paraId="4FFD6DC9" w14:textId="246E9F0E" w:rsidR="00962844" w:rsidRDefault="00877CE1" w:rsidP="00FF480D">
      <w:pPr>
        <w:tabs>
          <w:tab w:val="center" w:pos="4680"/>
          <w:tab w:val="right" w:pos="9360"/>
        </w:tabs>
        <w:rPr>
          <w:rFonts w:eastAsiaTheme="minorEastAsia"/>
        </w:rPr>
      </w:pPr>
      <w:r>
        <w:rPr>
          <w:rFonts w:eastAsiaTheme="minorEastAsia"/>
        </w:rPr>
        <w:t>(17) would need to use o</w:t>
      </w:r>
      <w:r w:rsidRPr="00877CE1">
        <w:rPr>
          <w:rFonts w:eastAsiaTheme="minorEastAsia"/>
          <w:vertAlign w:val="subscript"/>
        </w:rPr>
        <w:t>i</w:t>
      </w:r>
      <w:r w:rsidRPr="00877CE1">
        <w:rPr>
          <w:rFonts w:eastAsiaTheme="minorEastAsia"/>
          <w:vertAlign w:val="superscript"/>
        </w:rPr>
        <w:t>AD</w:t>
      </w:r>
      <w:r>
        <w:rPr>
          <w:rFonts w:eastAsiaTheme="minorEastAsia"/>
        </w:rPr>
        <w:t xml:space="preserve"> rather than o</w:t>
      </w:r>
      <w:r w:rsidRPr="00877CE1">
        <w:rPr>
          <w:rFonts w:eastAsiaTheme="minorEastAsia"/>
          <w:vertAlign w:val="subscript"/>
        </w:rPr>
        <w:t>i</w:t>
      </w:r>
      <w:r w:rsidRPr="00877CE1">
        <w:rPr>
          <w:rFonts w:eastAsiaTheme="minorEastAsia"/>
          <w:vertAlign w:val="superscript"/>
        </w:rPr>
        <w:t>A</w:t>
      </w:r>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241BB6EB" w:rsidR="005B4E80" w:rsidRDefault="00215923" w:rsidP="00FF480D">
      <w:pPr>
        <w:tabs>
          <w:tab w:val="center" w:pos="4680"/>
          <w:tab w:val="right" w:pos="9360"/>
        </w:tabs>
        <w:rPr>
          <w:rFonts w:eastAsiaTheme="minorEastAsia"/>
        </w:rPr>
      </w:pPr>
      <w:r>
        <w:rPr>
          <w:rFonts w:eastAsiaTheme="minorEastAsia"/>
        </w:rPr>
        <w:t>+</w:t>
      </w:r>
      <w:r w:rsidR="00813D91">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lastRenderedPageBreak/>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6A33BE61" w14:textId="603B6C2A" w:rsidR="00215923" w:rsidRDefault="00215923" w:rsidP="009856B5">
      <w:pPr>
        <w:tabs>
          <w:tab w:val="center" w:pos="4680"/>
          <w:tab w:val="right" w:pos="9360"/>
        </w:tabs>
        <w:rPr>
          <w:rFonts w:eastAsiaTheme="minorEastAsia"/>
        </w:rPr>
      </w:pPr>
      <w:r>
        <w:rPr>
          <w:rFonts w:eastAsiaTheme="minorEastAsia"/>
        </w:rPr>
        <w:t>+---</w:t>
      </w:r>
      <w:bookmarkStart w:id="0" w:name="_GoBack"/>
      <w:bookmarkEnd w:id="0"/>
    </w:p>
    <w:p w14:paraId="5E1B8147" w14:textId="192C6650" w:rsidR="00215923" w:rsidRDefault="00215923" w:rsidP="009856B5">
      <w:pPr>
        <w:tabs>
          <w:tab w:val="center" w:pos="4680"/>
          <w:tab w:val="right" w:pos="9360"/>
        </w:tabs>
        <w:rPr>
          <w:rFonts w:eastAsiaTheme="minorEastAsia"/>
        </w:rPr>
      </w:pPr>
      <w:r>
        <w:rPr>
          <w:rFonts w:eastAsiaTheme="minorEastAsia"/>
        </w:rPr>
        <w:t>Issue: I defined (D</w:t>
      </w:r>
      <w:r w:rsidRPr="00215923">
        <w:rPr>
          <w:rFonts w:eastAsiaTheme="minorEastAsia"/>
          <w:vertAlign w:val="subscript"/>
        </w:rPr>
        <w:t>ij</w:t>
      </w:r>
      <w:r>
        <w:rPr>
          <w:rFonts w:eastAsiaTheme="minorEastAsia"/>
        </w:rPr>
        <w:t>) as deposits (d</w:t>
      </w:r>
      <w:r w:rsidRPr="00215923">
        <w:rPr>
          <w:rFonts w:eastAsiaTheme="minorEastAsia"/>
          <w:vertAlign w:val="subscript"/>
        </w:rPr>
        <w:t>ij</w:t>
      </w:r>
      <w:r>
        <w:rPr>
          <w:rFonts w:eastAsiaTheme="minorEastAsia"/>
        </w:rPr>
        <w:t>) + Asset Sales (o</w:t>
      </w:r>
      <w:r w:rsidRPr="00215923">
        <w:rPr>
          <w:rFonts w:eastAsiaTheme="minorEastAsia"/>
          <w:vertAlign w:val="subscript"/>
        </w:rPr>
        <w:t>i</w:t>
      </w:r>
      <w:r w:rsidRPr="00215923">
        <w:rPr>
          <w:rFonts w:eastAsiaTheme="minorEastAsia"/>
          <w:vertAlign w:val="superscript"/>
        </w:rPr>
        <w:t>A</w:t>
      </w:r>
      <w:r>
        <w:rPr>
          <w:rFonts w:eastAsiaTheme="minorEastAsia"/>
        </w:rPr>
        <w:t>). But I am using (w</w:t>
      </w:r>
      <w:r w:rsidRPr="00215923">
        <w:rPr>
          <w:rFonts w:eastAsiaTheme="minorEastAsia"/>
          <w:vertAlign w:val="subscript"/>
        </w:rPr>
        <w:t>ij</w:t>
      </w:r>
      <w:r>
        <w:rPr>
          <w:rFonts w:eastAsiaTheme="minorEastAsia"/>
        </w:rPr>
        <w:t>) to transfer some of the (o</w:t>
      </w:r>
      <w:r w:rsidRPr="00215923">
        <w:rPr>
          <w:rFonts w:eastAsiaTheme="minorEastAsia"/>
          <w:vertAlign w:val="subscript"/>
        </w:rPr>
        <w:t>i</w:t>
      </w:r>
      <w:r w:rsidRPr="00215923">
        <w:rPr>
          <w:rFonts w:eastAsiaTheme="minorEastAsia"/>
          <w:vertAlign w:val="superscript"/>
        </w:rPr>
        <w:t>A</w:t>
      </w:r>
      <w:r>
        <w:rPr>
          <w:rFonts w:eastAsiaTheme="minorEastAsia"/>
        </w:rPr>
        <w:t>) amount to (s</w:t>
      </w:r>
      <w:r w:rsidRPr="00215923">
        <w:rPr>
          <w:rFonts w:eastAsiaTheme="minorEastAsia"/>
          <w:vertAlign w:val="subscript"/>
        </w:rPr>
        <w:t>i</w:t>
      </w:r>
      <w:r>
        <w:rPr>
          <w:rFonts w:eastAsiaTheme="minorEastAsia"/>
        </w:rPr>
        <w:t>) in eq(2) from eq (17) so this is mu</w:t>
      </w:r>
      <w:r w:rsidR="00582BAE">
        <w:rPr>
          <w:rFonts w:eastAsiaTheme="minorEastAsia"/>
        </w:rPr>
        <w:t>dd</w:t>
      </w:r>
      <w:r>
        <w:rPr>
          <w:rFonts w:eastAsiaTheme="minorEastAsia"/>
        </w:rPr>
        <w:t>led thinking.</w:t>
      </w:r>
    </w:p>
    <w:p w14:paraId="62B16C42" w14:textId="7685574C" w:rsidR="00215923" w:rsidRDefault="00215923" w:rsidP="009856B5">
      <w:pPr>
        <w:tabs>
          <w:tab w:val="center" w:pos="4680"/>
          <w:tab w:val="right" w:pos="9360"/>
        </w:tabs>
        <w:rPr>
          <w:rFonts w:eastAsiaTheme="minorEastAsia"/>
        </w:rPr>
      </w:pPr>
      <w:r>
        <w:rPr>
          <w:rFonts w:eastAsiaTheme="minorEastAsia"/>
        </w:rPr>
        <w:t>+---</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36947D3D"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24A0D2F5"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Pr="00BD2C21" w:rsidRDefault="001323E5" w:rsidP="008D1873">
      <w:pPr>
        <w:tabs>
          <w:tab w:val="center" w:pos="4680"/>
          <w:tab w:val="right" w:pos="9360"/>
        </w:tabs>
        <w:rPr>
          <w:rFonts w:eastAsiaTheme="minorEastAsia"/>
          <w:strike/>
        </w:rPr>
      </w:pPr>
      <w:r w:rsidRPr="00BD2C21">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func>
          <m:funcPr>
            <m:ctrlPr>
              <w:rPr>
                <w:rFonts w:ascii="Cambria Math" w:hAnsi="Cambria Math"/>
                <w:strike/>
              </w:rPr>
            </m:ctrlPr>
          </m:funcPr>
          <m:fName>
            <m:r>
              <m:rPr>
                <m:sty m:val="p"/>
              </m:rPr>
              <w:rPr>
                <w:rFonts w:ascii="Cambria Math" w:hAnsi="Cambria Math"/>
                <w:strike/>
              </w:rPr>
              <m:t>min</m:t>
            </m:r>
            <m:ctrlPr>
              <w:rPr>
                <w:rFonts w:ascii="Cambria Math" w:hAnsi="Cambria Math"/>
                <w:i/>
                <w:strike/>
              </w:rPr>
            </m:ctrlPr>
          </m:fName>
          <m:e>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t</m:t>
                    </m:r>
                  </m:sup>
                </m:sSubSup>
                <m:r>
                  <w:rPr>
                    <w:rFonts w:ascii="Cambria Math" w:hAnsi="Cambria Math"/>
                    <w:strike/>
                  </w:rPr>
                  <m:t xml:space="preserve">, </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e>
            </m:d>
          </m:e>
        </m:func>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D2C21">
        <w:rPr>
          <w:rFonts w:eastAsiaTheme="minorEastAsia"/>
          <w:strike/>
        </w:rPr>
        <w:tab/>
        <w:t>(N’)</w:t>
      </w:r>
    </w:p>
    <w:p w14:paraId="3E44E5B0" w14:textId="5572E246"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BD2C21">
        <w:rPr>
          <w:rFonts w:eastAsiaTheme="minorEastAsia"/>
        </w:rPr>
        <w:t xml:space="preserve"> or the users specified contribution (uc</w:t>
      </w:r>
      <w:r w:rsidR="00BD2C21" w:rsidRPr="00BD2C21">
        <w:rPr>
          <w:rFonts w:eastAsiaTheme="minorEastAsia"/>
          <w:vertAlign w:val="subscript"/>
        </w:rPr>
        <w:t>ij</w:t>
      </w:r>
      <w:r w:rsidR="00BD2C21">
        <w:rPr>
          <w:rFonts w:eastAsiaTheme="minorEastAsia"/>
        </w:rPr>
        <w:t>) amount unless a user switch (</w:t>
      </w:r>
      <m:oMath>
        <m:r>
          <w:rPr>
            <w:rFonts w:ascii="Cambria Math" w:hAnsi="Cambria Math"/>
          </w:rPr>
          <m:t>φ</m:t>
        </m:r>
      </m:oMath>
      <w:r w:rsidR="00BD2C21">
        <w:rPr>
          <w:rFonts w:eastAsiaTheme="minorEastAsia"/>
        </w:rPr>
        <w:t>) nullifies this last constraint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Notice that 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r w:rsidR="007959FD" w:rsidRPr="00B13147">
        <w:rPr>
          <w:rFonts w:eastAsiaTheme="minorEastAsia"/>
          <w:highlight w:val="yellow"/>
        </w:rPr>
        <w:t xml:space="preserve"> in expression (6</w:t>
      </w:r>
      <w:r w:rsidR="00B27FA9">
        <w:rPr>
          <w:rFonts w:eastAsiaTheme="minorEastAsia"/>
          <w:highlight w:val="yellow"/>
        </w:rPr>
        <w:t>,7</w:t>
      </w:r>
      <w:r w:rsidR="007959FD" w:rsidRPr="00B13147">
        <w:rPr>
          <w:rFonts w:eastAsiaTheme="minorEastAsia"/>
          <w:highlight w:val="yellow"/>
        </w:rPr>
        <w:t xml:space="preserve">) must be greater than or equal to </w:t>
      </w:r>
      <w:r w:rsidR="00EA180C">
        <w:rPr>
          <w:rFonts w:eastAsiaTheme="minorEastAsia"/>
          <w:highlight w:val="yellow"/>
        </w:rPr>
        <w:t xml:space="preserve">the sum of the applicable </w:t>
      </w:r>
      <w:r w:rsidR="007959FD" w:rsidRPr="00B13147">
        <w:rPr>
          <w:rFonts w:eastAsiaTheme="minorEastAsia"/>
          <w:highlight w:val="yellow"/>
        </w:rPr>
        <w:t>uc</w:t>
      </w:r>
      <w:r w:rsidR="007959FD" w:rsidRPr="00B13147">
        <w:rPr>
          <w:rFonts w:eastAsiaTheme="minorEastAsia"/>
          <w:highlight w:val="yellow"/>
          <w:vertAlign w:val="subscript"/>
        </w:rPr>
        <w:t>ij</w:t>
      </w:r>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(o</w:t>
      </w:r>
      <w:r w:rsidR="00087660" w:rsidRPr="006F3E91">
        <w:rPr>
          <w:rFonts w:eastAsiaTheme="minorEastAsia"/>
          <w:vertAlign w:val="superscript"/>
        </w:rPr>
        <w:t>t</w:t>
      </w:r>
      <w:r w:rsidR="00087660" w:rsidRPr="00C663E2">
        <w:rPr>
          <w:rFonts w:eastAsiaTheme="minorEastAsia"/>
          <w:vertAlign w:val="subscript"/>
        </w:rPr>
        <w:t>i</w:t>
      </w:r>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59828212" w14:textId="6D2AD4D4" w:rsidR="00B27FA9" w:rsidRDefault="00B27FA9" w:rsidP="008D1873">
      <w:pPr>
        <w:tabs>
          <w:tab w:val="center" w:pos="4680"/>
          <w:tab w:val="right" w:pos="9360"/>
        </w:tabs>
        <w:rPr>
          <w:rFonts w:eastAsiaTheme="minorEastAsia"/>
        </w:rPr>
      </w:pPr>
      <w:r>
        <w:rPr>
          <w:rFonts w:eastAsiaTheme="minorEastAsia"/>
        </w:rPr>
        <w:t>The user switch (-z) allows the optimizer to choose deposit levels above those the user specifies for both TDRA and RothRA accounts, that is those defined in (uc</w:t>
      </w:r>
      <w:r w:rsidRPr="00B27FA9">
        <w:rPr>
          <w:rFonts w:eastAsiaTheme="minorEastAsia"/>
          <w:vertAlign w:val="subscript"/>
        </w:rPr>
        <w:t>ij</w:t>
      </w:r>
      <w:r>
        <w:rPr>
          <w:rFonts w:eastAsiaTheme="minorEastAsia"/>
        </w:rPr>
        <w:t>) as long as they remain within the legal limits.</w:t>
      </w:r>
    </w:p>
    <w:p w14:paraId="15F05FAD" w14:textId="54F025C8" w:rsidR="00CE651F" w:rsidRPr="00B27FA9" w:rsidRDefault="00CE651F" w:rsidP="008D1873">
      <w:pPr>
        <w:tabs>
          <w:tab w:val="center" w:pos="4680"/>
          <w:tab w:val="right" w:pos="9360"/>
        </w:tabs>
        <w:rPr>
          <w:rFonts w:eastAsiaTheme="minorEastAsia"/>
          <w:strike/>
        </w:rPr>
      </w:pPr>
      <w:r w:rsidRPr="00B27FA9">
        <w:rPr>
          <w:rFonts w:eastAsiaTheme="minorEastAsia"/>
          <w:strike/>
        </w:rPr>
        <w:lastRenderedPageBreak/>
        <w:t>We defin</w:t>
      </w:r>
      <w:r w:rsidR="00012C3E" w:rsidRPr="00B27FA9">
        <w:rPr>
          <w:rFonts w:eastAsiaTheme="minorEastAsia"/>
          <w:strike/>
        </w:rPr>
        <w:t>e a constraint (N’) that is</w:t>
      </w:r>
      <w:r w:rsidRPr="00B27FA9">
        <w:rPr>
          <w:rFonts w:eastAsiaTheme="minorEastAsia"/>
          <w:strike/>
        </w:rPr>
        <w:t xml:space="preserve"> included </w:t>
      </w:r>
      <w:r w:rsidR="00012C3E" w:rsidRPr="00B27FA9">
        <w:rPr>
          <w:rFonts w:eastAsiaTheme="minorEastAsia"/>
          <w:strike/>
        </w:rPr>
        <w:t>unless a user switch is used (-z)</w:t>
      </w:r>
      <w:r w:rsidRPr="00B27FA9">
        <w:rPr>
          <w:rFonts w:eastAsiaTheme="minorEastAsia"/>
          <w:strike/>
        </w:rPr>
        <w:t xml:space="preserve"> that limits all deposits to both TDRA and RothRA account to the amount explicitly specified for contribution (uc</w:t>
      </w:r>
      <w:r w:rsidRPr="00B27FA9">
        <w:rPr>
          <w:rFonts w:eastAsiaTheme="minorEastAsia"/>
          <w:strike/>
          <w:vertAlign w:val="subscript"/>
        </w:rPr>
        <w:t>ij</w:t>
      </w:r>
      <w:r w:rsidRPr="00B27FA9">
        <w:rPr>
          <w:rFonts w:eastAsiaTheme="minorEastAsia"/>
          <w:strike/>
        </w:rPr>
        <w:t xml:space="preserve">).  This allows us to compare the difference in the optimized results of allowing </w:t>
      </w:r>
      <w:r w:rsidR="00581780" w:rsidRPr="00B27FA9">
        <w:rPr>
          <w:rFonts w:eastAsiaTheme="minorEastAsia"/>
          <w:strike/>
        </w:rPr>
        <w:t xml:space="preserve">the optimizer to choose to make </w:t>
      </w:r>
      <w:r w:rsidR="00012C3E" w:rsidRPr="00B27FA9">
        <w:rPr>
          <w:rFonts w:eastAsiaTheme="minorEastAsia"/>
          <w:strike/>
        </w:rPr>
        <w:t>deposits vs.</w:t>
      </w:r>
      <w:r w:rsidRPr="00B27FA9">
        <w:rPr>
          <w:rFonts w:eastAsiaTheme="minorEastAsia"/>
          <w:strike/>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(D</w:t>
      </w:r>
      <w:r w:rsidR="00523231" w:rsidRPr="00523231">
        <w:rPr>
          <w:rFonts w:eastAsiaTheme="minorEastAsia"/>
          <w:vertAlign w:val="subscript"/>
        </w:rPr>
        <w:t>ij</w:t>
      </w:r>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(o</w:t>
      </w:r>
      <w:r w:rsidR="00F26004" w:rsidRPr="00F26004">
        <w:rPr>
          <w:rFonts w:eastAsiaTheme="minorEastAsia"/>
          <w:vertAlign w:val="subscript"/>
        </w:rPr>
        <w:t>i</w:t>
      </w:r>
      <w:r w:rsidR="00F26004" w:rsidRPr="00F26004">
        <w:rPr>
          <w:rFonts w:eastAsiaTheme="minorEastAsia"/>
          <w:vertAlign w:val="superscript"/>
        </w:rPr>
        <w:t>A</w:t>
      </w:r>
      <w:r w:rsidR="00F26004">
        <w:rPr>
          <w:rFonts w:eastAsiaTheme="minorEastAsia"/>
        </w:rPr>
        <w:t>)</w:t>
      </w:r>
      <w:r w:rsidR="0092055D">
        <w:rPr>
          <w:rFonts w:eastAsiaTheme="minorEastAsia"/>
        </w:rPr>
        <w:t xml:space="preserve"> which is NOT really a withdrawal from the After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zerofloor()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lastRenderedPageBreak/>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237AAE7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w:t>
      </w:r>
      <w:r w:rsidR="006A1B84">
        <w:rPr>
          <w:rFonts w:eastAsiaTheme="minorEastAsia"/>
        </w:rPr>
        <w:t>(sy</w:t>
      </w:r>
      <w:r w:rsidR="006A1B84" w:rsidRPr="006A1B84">
        <w:rPr>
          <w:rFonts w:eastAsiaTheme="minorEastAsia"/>
          <w:vertAlign w:val="subscript"/>
        </w:rPr>
        <w:t>il</w:t>
      </w:r>
      <w:r w:rsidR="006A1B84">
        <w:rPr>
          <w:rFonts w:eastAsiaTheme="minorEastAsia"/>
        </w:rPr>
        <w:t xml:space="preserve">) </w:t>
      </w:r>
      <w:r w:rsidR="00207078">
        <w:rPr>
          <w:rFonts w:eastAsiaTheme="minorEastAsia"/>
        </w:rPr>
        <w:t>that is filled with ordinary taxable fund at the same time as x</w:t>
      </w:r>
      <w:r w:rsidR="00207078" w:rsidRPr="00207078">
        <w:rPr>
          <w:rFonts w:eastAsiaTheme="minorEastAsia"/>
          <w:vertAlign w:val="subscript"/>
        </w:rPr>
        <w:t>ik</w:t>
      </w:r>
      <w:r w:rsidR="00207078">
        <w:rPr>
          <w:rFonts w:eastAsiaTheme="minorEastAsia"/>
        </w:rPr>
        <w:t xml:space="preserve"> but with the same bracket constraints as y</w:t>
      </w:r>
      <w:r w:rsidR="00207078" w:rsidRPr="00207078">
        <w:rPr>
          <w:rFonts w:eastAsiaTheme="minorEastAsia"/>
          <w:vertAlign w:val="subscript"/>
        </w:rPr>
        <w:t>il</w:t>
      </w:r>
      <w:r w:rsidR="00207078">
        <w:rPr>
          <w:rFonts w:eastAsiaTheme="minorEastAsia"/>
        </w:rPr>
        <w:t>. This will give us the amounts that need to be removed from y</w:t>
      </w:r>
      <w:r w:rsidR="00207078" w:rsidRPr="00207078">
        <w:rPr>
          <w:rFonts w:eastAsiaTheme="minorEastAsia"/>
          <w:vertAlign w:val="subscript"/>
        </w:rPr>
        <w:t>il</w:t>
      </w:r>
      <w:r w:rsidR="00207078">
        <w:rPr>
          <w:rFonts w:eastAsiaTheme="minorEastAsia"/>
        </w:rPr>
        <w:t xml:space="preserve"> to properly fill them independent of the way y</w:t>
      </w:r>
      <w:r w:rsidR="00207078" w:rsidRPr="00207078">
        <w:rPr>
          <w:rFonts w:eastAsiaTheme="minorEastAsia"/>
          <w:vertAlign w:val="subscript"/>
        </w:rPr>
        <w:t>il</w:t>
      </w:r>
      <w:r w:rsidR="00207078">
        <w:rPr>
          <w:rFonts w:eastAsiaTheme="minorEastAsia"/>
        </w:rPr>
        <w:t xml:space="preserve"> and x</w:t>
      </w:r>
      <w:r w:rsidR="00207078" w:rsidRPr="00207078">
        <w:rPr>
          <w:rFonts w:eastAsiaTheme="minorEastAsia"/>
          <w:vertAlign w:val="subscript"/>
        </w:rPr>
        <w:t>ik</w:t>
      </w:r>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Notice that the changes deal only with changing x</w:t>
      </w:r>
      <w:r w:rsidR="00726EE1" w:rsidRPr="00726EE1">
        <w:rPr>
          <w:rFonts w:eastAsiaTheme="minorEastAsia"/>
          <w:vertAlign w:val="subscript"/>
        </w:rPr>
        <w:t>ik</w:t>
      </w:r>
      <w:r w:rsidR="00726EE1">
        <w:rPr>
          <w:rFonts w:eastAsiaTheme="minorEastAsia"/>
        </w:rPr>
        <w:t xml:space="preserve"> to sy</w:t>
      </w:r>
      <w:r w:rsidR="00726EE1" w:rsidRPr="00726EE1">
        <w:rPr>
          <w:rFonts w:eastAsiaTheme="minorEastAsia"/>
          <w:vertAlign w:val="subscript"/>
        </w:rPr>
        <w:t>il</w:t>
      </w:r>
      <w:r w:rsidR="00726EE1">
        <w:rPr>
          <w:rFonts w:eastAsiaTheme="minorEastAsia"/>
        </w:rPr>
        <w:t xml:space="preserve"> and related brackets. Sy</w:t>
      </w:r>
      <w:r w:rsidR="00726EE1" w:rsidRPr="00726EE1">
        <w:rPr>
          <w:rFonts w:eastAsiaTheme="minorEastAsia"/>
          <w:vertAlign w:val="subscript"/>
        </w:rPr>
        <w:t>il</w:t>
      </w:r>
      <w:r w:rsidR="00726EE1">
        <w:rPr>
          <w:rFonts w:eastAsiaTheme="minorEastAsia"/>
        </w:rPr>
        <w:t xml:space="preserve"> is our new shadow brackets. With sy</w:t>
      </w:r>
      <w:r w:rsidR="00726EE1" w:rsidRPr="00726EE1">
        <w:rPr>
          <w:rFonts w:eastAsiaTheme="minorEastAsia"/>
          <w:vertAlign w:val="subscript"/>
        </w:rPr>
        <w:t>il</w:t>
      </w:r>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(o</w:t>
      </w:r>
      <w:r w:rsidR="005301CE" w:rsidRPr="005301CE">
        <w:rPr>
          <w:rFonts w:eastAsiaTheme="minorEastAsia"/>
          <w:vertAlign w:val="subscript"/>
        </w:rPr>
        <w:t>i</w:t>
      </w:r>
      <w:r w:rsidR="005301CE" w:rsidRPr="005301CE">
        <w:rPr>
          <w:rFonts w:eastAsiaTheme="minorEastAsia"/>
          <w:vertAlign w:val="superscript"/>
        </w:rPr>
        <w:t>A</w:t>
      </w:r>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n*n</w:t>
      </w:r>
      <w:r w:rsidR="005D21C2" w:rsidRPr="005D21C2">
        <w:rPr>
          <w:rFonts w:eastAsiaTheme="minorEastAsia"/>
          <w:vertAlign w:val="subscript"/>
        </w:rPr>
        <w:t>l</w:t>
      </w:r>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r w:rsidR="00B32CBB">
        <w:rPr>
          <w:rFonts w:eastAsiaTheme="minorEastAsia"/>
        </w:rPr>
        <w:t xml:space="preserve">After tax </w:t>
      </w:r>
      <w:r>
        <w:rPr>
          <w:rFonts w:eastAsiaTheme="minorEastAsia"/>
        </w:rPr>
        <w:t>withdrawa</w:t>
      </w:r>
      <w:r w:rsidR="00B32CBB">
        <w:rPr>
          <w:rFonts w:eastAsiaTheme="minorEastAsia"/>
        </w:rPr>
        <w:t>l variable (</w:t>
      </w:r>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r w:rsidR="00460A54">
        <w:rPr>
          <w:rFonts w:eastAsiaTheme="minorEastAsia"/>
        </w:rPr>
        <w:t>s</w:t>
      </w:r>
      <w:r w:rsidR="00460A54" w:rsidRPr="00460A54">
        <w:rPr>
          <w:rFonts w:eastAsiaTheme="minorEastAsia"/>
          <w:vertAlign w:val="subscript"/>
        </w:rPr>
        <w:t>i</w:t>
      </w:r>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n</w:t>
      </w:r>
      <w:r w:rsidR="009A3F72" w:rsidRPr="009A3F72">
        <w:rPr>
          <w:rFonts w:eastAsiaTheme="minorEastAsia"/>
          <w:vertAlign w:val="subscript"/>
        </w:rPr>
        <w:t>l</w:t>
      </w:r>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lastRenderedPageBreak/>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2F23D6BF" w14:textId="3239135A" w:rsidR="00B914EC"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2EFF808E"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16CC2F23"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Pr="00B914EC" w:rsidRDefault="001323E5" w:rsidP="00E7725A">
      <w:pPr>
        <w:tabs>
          <w:tab w:val="center" w:pos="4680"/>
          <w:tab w:val="right" w:pos="9360"/>
        </w:tabs>
        <w:rPr>
          <w:rFonts w:eastAsiaTheme="minorEastAsia"/>
          <w:strike/>
        </w:rPr>
      </w:pPr>
      <w:r w:rsidRPr="00B914EC">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914EC">
        <w:rPr>
          <w:rFonts w:eastAsiaTheme="minorEastAsia"/>
          <w:strike/>
        </w:rPr>
        <w:t xml:space="preserve"> </w:t>
      </w:r>
      <w:r w:rsidRPr="00B914EC">
        <w:rPr>
          <w:rFonts w:eastAsiaTheme="minorEastAsia"/>
          <w:strike/>
        </w:rPr>
        <w:tab/>
        <w:t>(N’)</w:t>
      </w:r>
    </w:p>
    <w:p w14:paraId="7CE5AA52" w14:textId="799B697B"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2643F9">
        <w:rPr>
          <w:rFonts w:eastAsiaTheme="minorEastAsia"/>
        </w:rPr>
        <w:tab/>
      </w:r>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lastRenderedPageBreak/>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lastRenderedPageBreak/>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r>
        <w:rPr>
          <w:rFonts w:eastAsiaTheme="minorEastAsia"/>
        </w:rPr>
        <w:t>maxContribution() inflates to years but should inflate to prePlanYears+years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an issue for the TDRA and RothRA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lastRenderedPageBreak/>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FF127" w14:textId="77777777" w:rsidR="0028393B" w:rsidRDefault="0028393B" w:rsidP="00AE3AD9">
      <w:pPr>
        <w:spacing w:after="0" w:line="240" w:lineRule="auto"/>
      </w:pPr>
      <w:r>
        <w:separator/>
      </w:r>
    </w:p>
  </w:endnote>
  <w:endnote w:type="continuationSeparator" w:id="0">
    <w:p w14:paraId="3DDD1E7B" w14:textId="77777777" w:rsidR="0028393B" w:rsidRDefault="0028393B"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F070CF" w:rsidRDefault="00F070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F070CF" w:rsidRDefault="00F070C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643F9" w:rsidRPr="002643F9">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14:paraId="3CFD3215" w14:textId="77777777" w:rsidR="00F070CF" w:rsidRDefault="00F070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F070CF" w:rsidRDefault="00F07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33EDB" w14:textId="77777777" w:rsidR="0028393B" w:rsidRDefault="0028393B" w:rsidP="00AE3AD9">
      <w:pPr>
        <w:spacing w:after="0" w:line="240" w:lineRule="auto"/>
      </w:pPr>
      <w:r>
        <w:separator/>
      </w:r>
    </w:p>
  </w:footnote>
  <w:footnote w:type="continuationSeparator" w:id="0">
    <w:p w14:paraId="2D1FB2DA" w14:textId="77777777" w:rsidR="0028393B" w:rsidRDefault="0028393B" w:rsidP="00AE3AD9">
      <w:pPr>
        <w:spacing w:after="0" w:line="240" w:lineRule="auto"/>
      </w:pPr>
      <w:r>
        <w:continuationSeparator/>
      </w:r>
    </w:p>
  </w:footnote>
  <w:footnote w:id="1">
    <w:p w14:paraId="2ABCEF13" w14:textId="77777777" w:rsidR="00F070CF" w:rsidRDefault="00F070CF">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F070CF" w:rsidRDefault="00F070CF"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F070CF" w:rsidRDefault="00F070CF">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F070CF" w:rsidRDefault="00F070CF">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F070CF" w:rsidRDefault="00F070CF">
      <w:pPr>
        <w:pStyle w:val="FootnoteText"/>
      </w:pPr>
      <w:r>
        <w:rPr>
          <w:rStyle w:val="FootnoteReference"/>
        </w:rPr>
        <w:footnoteRef/>
      </w:r>
      <w:r>
        <w:t xml:space="preserve"> IRS 2017 publication 590b.</w:t>
      </w:r>
    </w:p>
  </w:footnote>
  <w:footnote w:id="6">
    <w:p w14:paraId="1A78B9F4" w14:textId="71F37AC6" w:rsidR="00F070CF" w:rsidRDefault="00F070CF">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F070CF" w:rsidRDefault="00F070CF"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F070CF" w:rsidRDefault="00F070CF"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F070CF" w:rsidRDefault="00F070CF"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F070CF" w:rsidRDefault="00F070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F070CF" w:rsidRDefault="00F070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F070CF" w:rsidRDefault="00F07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643F9"/>
    <w:rsid w:val="00270420"/>
    <w:rsid w:val="00280BF7"/>
    <w:rsid w:val="00282A87"/>
    <w:rsid w:val="0028393B"/>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2BAE"/>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1B8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14EC"/>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FECDF-504E-4CBF-B16C-6975E15D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14</Pages>
  <Words>5359</Words>
  <Characters>30550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11</cp:revision>
  <cp:lastPrinted>2018-06-29T01:34:00Z</cp:lastPrinted>
  <dcterms:created xsi:type="dcterms:W3CDTF">2018-04-20T17:36:00Z</dcterms:created>
  <dcterms:modified xsi:type="dcterms:W3CDTF">2018-10-17T23:29:00Z</dcterms:modified>
</cp:coreProperties>
</file>