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highlight w:val="yellow"/>
                      </w:rPr>
                    </m:ctrlPr>
                  </m:naryPr>
                  <m:sub>
                    <m:r>
                      <w:rPr>
                        <w:rFonts w:ascii="Cambria Math" w:hAnsi="Cambria Math"/>
                        <w:highlight w:val="yellow"/>
                      </w:rPr>
                      <m:t>m=1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sup>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w:t>
      </w:r>
      <w:r w:rsidR="006F3E91">
        <w:rPr>
          <w:rFonts w:eastAsiaTheme="minorEastAsia"/>
        </w:rPr>
        <w:lastRenderedPageBreak/>
        <w:t>(3)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6917B996" w:rsidR="008D1873" w:rsidRDefault="002D4F8C" w:rsidP="008D1873">
      <w:pPr>
        <w:tabs>
          <w:tab w:val="center" w:pos="4680"/>
          <w:tab w:val="right" w:pos="9360"/>
        </w:tabs>
        <w:rPr>
          <w:rFonts w:eastAsiaTheme="minorEastAsia"/>
        </w:rPr>
      </w:pPr>
      <w:bookmarkStart w:id="0" w:name="_GoBack"/>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3E0DA7">
        <w:rPr>
          <w:rFonts w:eastAsiaTheme="minorEastAsia"/>
        </w:rPr>
        <w:t>; no TDRA account with owner over age 70 ½ can take contributions</w:t>
      </w:r>
      <w:r w:rsidR="008D1873">
        <w:rPr>
          <w:rFonts w:eastAsiaTheme="minorEastAsia"/>
        </w:rPr>
        <w:t xml:space="preserve">. </w:t>
      </w:r>
      <w:r w:rsidR="001B7B24">
        <w:rPr>
          <w:rFonts w:eastAsiaTheme="minorEastAsia"/>
        </w:rPr>
        <w:t xml:space="preserve">In addition, in the ‘married joint’ case we need to ensure that each person’s accounts do not exceed their personal maximums as in (7). </w:t>
      </w:r>
      <w:bookmarkEnd w:id="0"/>
      <w:r w:rsidR="001B7B24">
        <w:rPr>
          <w:rFonts w:eastAsiaTheme="minorEastAsia"/>
        </w:rPr>
        <w:t>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54F025C8" w:rsidR="00CE651F" w:rsidRDefault="00CE651F" w:rsidP="008D1873">
      <w:pPr>
        <w:tabs>
          <w:tab w:val="center" w:pos="4680"/>
          <w:tab w:val="right" w:pos="9360"/>
        </w:tabs>
        <w:rPr>
          <w:rFonts w:eastAsiaTheme="minorEastAsia"/>
        </w:rPr>
      </w:pPr>
      <w:r>
        <w:rPr>
          <w:rFonts w:eastAsiaTheme="minorEastAsia"/>
        </w:rPr>
        <w:t>We defin</w:t>
      </w:r>
      <w:r w:rsidR="00012C3E">
        <w:rPr>
          <w:rFonts w:eastAsiaTheme="minorEastAsia"/>
        </w:rPr>
        <w:t>e a constraint (N’) that is</w:t>
      </w:r>
      <w:r>
        <w:rPr>
          <w:rFonts w:eastAsiaTheme="minorEastAsia"/>
        </w:rPr>
        <w:t xml:space="preserve"> included </w:t>
      </w:r>
      <w:r w:rsidR="00012C3E">
        <w:rPr>
          <w:rFonts w:eastAsiaTheme="minorEastAsia"/>
        </w:rPr>
        <w:t>unless a user switch is used (-z)</w:t>
      </w:r>
      <w:r>
        <w:rPr>
          <w:rFonts w:eastAsiaTheme="minorEastAsia"/>
        </w:rPr>
        <w:t xml:space="preserve">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w:t>
      </w:r>
      <w:r w:rsidR="00581780">
        <w:rPr>
          <w:rFonts w:eastAsiaTheme="minorEastAsia"/>
        </w:rPr>
        <w:t xml:space="preserve">the optimizer to choose to make </w:t>
      </w:r>
      <w:r w:rsidR="00012C3E">
        <w:rPr>
          <w:rFonts w:eastAsiaTheme="minorEastAsia"/>
        </w:rPr>
        <w:t>deposits vs.</w:t>
      </w:r>
      <w:r>
        <w:rPr>
          <w:rFonts w:eastAsiaTheme="minorEastAsia"/>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w:t>
      </w:r>
      <w:r w:rsidR="000343C8">
        <w:rPr>
          <w:rFonts w:eastAsiaTheme="minorEastAsia"/>
        </w:rPr>
        <w:lastRenderedPageBreak/>
        <w:t xml:space="preserve">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lastRenderedPageBreak/>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lastRenderedPageBreak/>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lastRenderedPageBreak/>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lastRenderedPageBreak/>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B85C6" w14:textId="77777777" w:rsidR="00C0295D" w:rsidRDefault="00C0295D" w:rsidP="00AE3AD9">
      <w:pPr>
        <w:spacing w:after="0" w:line="240" w:lineRule="auto"/>
      </w:pPr>
      <w:r>
        <w:separator/>
      </w:r>
    </w:p>
  </w:endnote>
  <w:endnote w:type="continuationSeparator" w:id="0">
    <w:p w14:paraId="31BD8D6C" w14:textId="77777777" w:rsidR="00C0295D" w:rsidRDefault="00C0295D"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3E0DA7" w:rsidRDefault="003E0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3E0DA7" w:rsidRDefault="003E0DA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8540C8" w:rsidRPr="008540C8">
          <w:rPr>
            <w:rFonts w:asciiTheme="majorHAnsi" w:eastAsiaTheme="majorEastAsia" w:hAnsiTheme="majorHAnsi" w:cstheme="majorBidi"/>
            <w:noProof/>
            <w:sz w:val="28"/>
            <w:szCs w:val="28"/>
          </w:rPr>
          <w:t>6</w:t>
        </w:r>
        <w:r>
          <w:rPr>
            <w:rFonts w:asciiTheme="majorHAnsi" w:eastAsiaTheme="majorEastAsia" w:hAnsiTheme="majorHAnsi" w:cstheme="majorBidi"/>
            <w:noProof/>
            <w:sz w:val="28"/>
            <w:szCs w:val="28"/>
          </w:rPr>
          <w:fldChar w:fldCharType="end"/>
        </w:r>
      </w:p>
    </w:sdtContent>
  </w:sdt>
  <w:p w14:paraId="3CFD3215" w14:textId="77777777" w:rsidR="003E0DA7" w:rsidRDefault="003E0D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3E0DA7" w:rsidRDefault="003E0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C9962" w14:textId="77777777" w:rsidR="00C0295D" w:rsidRDefault="00C0295D" w:rsidP="00AE3AD9">
      <w:pPr>
        <w:spacing w:after="0" w:line="240" w:lineRule="auto"/>
      </w:pPr>
      <w:r>
        <w:separator/>
      </w:r>
    </w:p>
  </w:footnote>
  <w:footnote w:type="continuationSeparator" w:id="0">
    <w:p w14:paraId="0799FDEF" w14:textId="77777777" w:rsidR="00C0295D" w:rsidRDefault="00C0295D" w:rsidP="00AE3AD9">
      <w:pPr>
        <w:spacing w:after="0" w:line="240" w:lineRule="auto"/>
      </w:pPr>
      <w:r>
        <w:continuationSeparator/>
      </w:r>
    </w:p>
  </w:footnote>
  <w:footnote w:id="1">
    <w:p w14:paraId="2ABCEF13" w14:textId="77777777" w:rsidR="003E0DA7" w:rsidRDefault="003E0DA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3E0DA7" w:rsidRDefault="003E0DA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3E0DA7" w:rsidRDefault="003E0DA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3E0DA7" w:rsidRDefault="003E0DA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3E0DA7" w:rsidRDefault="003E0DA7">
      <w:pPr>
        <w:pStyle w:val="FootnoteText"/>
      </w:pPr>
      <w:r>
        <w:rPr>
          <w:rStyle w:val="FootnoteReference"/>
        </w:rPr>
        <w:footnoteRef/>
      </w:r>
      <w:r>
        <w:t xml:space="preserve"> IRS 2017 publication 590b.</w:t>
      </w:r>
    </w:p>
  </w:footnote>
  <w:footnote w:id="6">
    <w:p w14:paraId="1A78B9F4" w14:textId="71F37AC6" w:rsidR="003E0DA7" w:rsidRDefault="003E0DA7">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3E0DA7" w:rsidRDefault="003E0DA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3E0DA7" w:rsidRDefault="003E0DA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3E0DA7" w:rsidRDefault="003E0DA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3E0DA7" w:rsidRDefault="003E0DA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3E0DA7" w:rsidRDefault="003E0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3E0DA7" w:rsidRDefault="003E0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0DA7"/>
    <w:rsid w:val="003E239C"/>
    <w:rsid w:val="003E2593"/>
    <w:rsid w:val="003E3E13"/>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540C8"/>
    <w:rsid w:val="00860138"/>
    <w:rsid w:val="00861B5C"/>
    <w:rsid w:val="00863EB3"/>
    <w:rsid w:val="008705C3"/>
    <w:rsid w:val="008707DE"/>
    <w:rsid w:val="008774F2"/>
    <w:rsid w:val="00877CE1"/>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0295D"/>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9817D-F73E-4AB2-87CA-5FAA77A1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13</Pages>
  <Words>5161</Words>
  <Characters>29422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21</cp:revision>
  <cp:lastPrinted>2018-06-13T22:02:00Z</cp:lastPrinted>
  <dcterms:created xsi:type="dcterms:W3CDTF">2018-04-20T17:36:00Z</dcterms:created>
  <dcterms:modified xsi:type="dcterms:W3CDTF">2018-06-20T16:57:00Z</dcterms:modified>
</cp:coreProperties>
</file>