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Pr="009F4F9D" w:rsidRDefault="009F4F9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F4F9D">
        <w:rPr>
          <w:rFonts w:ascii="Times New Roman" w:hAnsi="Times New Roman" w:cs="Times New Roman"/>
          <w:sz w:val="24"/>
          <w:szCs w:val="24"/>
        </w:rPr>
        <w:t>The Religious Terror in Mainz</w:t>
      </w:r>
    </w:p>
    <w:p w:rsidR="009F4F9D" w:rsidRPr="009F4F9D" w:rsidRDefault="009F4F9D">
      <w:pPr>
        <w:rPr>
          <w:rFonts w:ascii="Times New Roman" w:hAnsi="Times New Roman" w:cs="Times New Roman"/>
          <w:sz w:val="24"/>
          <w:szCs w:val="24"/>
        </w:rPr>
      </w:pPr>
      <w:r w:rsidRPr="009F4F9D">
        <w:rPr>
          <w:rFonts w:ascii="Times New Roman" w:hAnsi="Times New Roman" w:cs="Times New Roman"/>
          <w:sz w:val="24"/>
          <w:szCs w:val="24"/>
        </w:rPr>
        <w:t xml:space="preserve">   The Vicar General of Mainz, Father Mayer – against all provisions of Church Canon Law – has refused Church burial to National Socialists.  Now he is refusing – in contradiction against to the provisions of other Diocesan Bishops – </w:t>
      </w:r>
    </w:p>
    <w:p w:rsidR="009F4F9D" w:rsidRPr="009F4F9D" w:rsidRDefault="009F4F9D">
      <w:pPr>
        <w:rPr>
          <w:rFonts w:ascii="Times New Roman" w:hAnsi="Times New Roman" w:cs="Times New Roman"/>
          <w:sz w:val="24"/>
          <w:szCs w:val="24"/>
        </w:rPr>
      </w:pPr>
    </w:p>
    <w:bookmarkEnd w:id="0"/>
    <w:p w:rsidR="009F4F9D" w:rsidRDefault="009F4F9D"/>
    <w:sectPr w:rsidR="009F4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F9D"/>
    <w:rsid w:val="000C6A04"/>
    <w:rsid w:val="00880C5F"/>
    <w:rsid w:val="009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2013-02-06T15:30:00Z</dcterms:created>
  <dcterms:modified xsi:type="dcterms:W3CDTF">2013-02-06T15:35:00Z</dcterms:modified>
</cp:coreProperties>
</file>