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0D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Memorandum by </w:t>
      </w:r>
      <w:r w:rsidR="00C26B66">
        <w:rPr>
          <w:rFonts w:ascii="Times New Roman" w:hAnsi="Times New Roman" w:cs="Times New Roman"/>
          <w:sz w:val="24"/>
          <w:szCs w:val="24"/>
        </w:rPr>
        <w:t xml:space="preserve">State Secretary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Bülow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German Foreign Office, February 19, 1934</w:t>
      </w:r>
    </w:p>
    <w:p w:rsidR="000D0DA7" w:rsidRDefault="0016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Dieter Albrecht, ed., 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Notenwechsel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Zwischen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dem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Heiligen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Stuhl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und 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Deutschen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Reichsregierung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[Diplomatic Note 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Holy See and the German Reich Government]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>, 1965-1980), vol. 3, pp. 19-20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0DA7">
        <w:rPr>
          <w:rFonts w:ascii="Times New Roman" w:hAnsi="Times New Roman" w:cs="Times New Roman"/>
          <w:sz w:val="24"/>
          <w:szCs w:val="24"/>
        </w:rPr>
        <w:t>reprinting memorandum fr</w:t>
      </w:r>
      <w:r w:rsidR="00BA1CC6">
        <w:rPr>
          <w:rFonts w:ascii="Times New Roman" w:hAnsi="Times New Roman" w:cs="Times New Roman"/>
          <w:sz w:val="24"/>
          <w:szCs w:val="24"/>
        </w:rPr>
        <w:t xml:space="preserve">om the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Flaggenfragge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(Flag Question</w:t>
      </w:r>
      <w:r w:rsidR="000D0DA7">
        <w:rPr>
          <w:rFonts w:ascii="Times New Roman" w:hAnsi="Times New Roman" w:cs="Times New Roman"/>
          <w:sz w:val="24"/>
          <w:szCs w:val="24"/>
        </w:rPr>
        <w:t>) file of the German Foreign office</w:t>
      </w:r>
    </w:p>
    <w:p w:rsidR="000D0DA7" w:rsidRDefault="000D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</w:t>
      </w:r>
      <w:r w:rsidR="00BA1CC6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Nuntius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brachte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seinem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heutigen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Besuch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Diözese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Mainz die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Flaggenfrage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peinliche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Wendung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genommen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von Mainz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anscheinend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1CC6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einziger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in Deutschland auf den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Kirchen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nationalen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Fahnen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hissen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lassen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Anlass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hierzu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war.  </w:t>
      </w:r>
      <w:proofErr w:type="spellStart"/>
      <w:proofErr w:type="gramStart"/>
      <w:r w:rsidR="00BA1CC6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merkte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übrigen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Deutschland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kirchlichen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Fahnen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aufgezogen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wurden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Weisung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künftig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in seiner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Diözese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verfahren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Daraufhin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Hessen und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zwar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den 30.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Januar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Verordnung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unterzeichnet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Jung –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ergangen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wonach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nationalen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Fahnen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auf den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Kirchen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neben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kirchlichen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Fahne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aufzuziehen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seien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BA1CC6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Verordnung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Bishof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gefügt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empfinde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peinlich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Hessen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Regelung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getroffen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werde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1CC6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in den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deutschen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Ländern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BA1CC6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Nuntius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erwähnte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Herr von Papen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Frage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bereits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befasst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worden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führte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ferner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von Mainz in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peinlichen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Situation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ausserordentlich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schwer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empfinde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werde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Unrecht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separatistischer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Neigungen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beschuldigt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Fasching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hätten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ihm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etwa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proofErr w:type="gramStart"/>
      <w:r w:rsidR="00BA1CC6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Franzosen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verkleidete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Leute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Stänchen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französischer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CC6">
        <w:rPr>
          <w:rFonts w:ascii="Times New Roman" w:hAnsi="Times New Roman" w:cs="Times New Roman"/>
          <w:sz w:val="24"/>
          <w:szCs w:val="24"/>
        </w:rPr>
        <w:t>gebracht</w:t>
      </w:r>
      <w:proofErr w:type="spellEnd"/>
      <w:r w:rsidR="00BA1CC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A1CC6" w:rsidRPr="000D0DA7" w:rsidRDefault="00BA1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Zusammenhang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erwähnte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Nuntius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Erklärung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Reichskanzlers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Studierende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Arbeitsdienst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Wehrsport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teilzunehmen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6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="00D1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61B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="00D1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61B">
        <w:rPr>
          <w:rFonts w:ascii="Times New Roman" w:hAnsi="Times New Roman" w:cs="Times New Roman"/>
          <w:sz w:val="24"/>
          <w:szCs w:val="24"/>
        </w:rPr>
        <w:t>genötigt</w:t>
      </w:r>
      <w:proofErr w:type="spellEnd"/>
      <w:r w:rsidR="00D1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61B">
        <w:rPr>
          <w:rFonts w:ascii="Times New Roman" w:hAnsi="Times New Roman" w:cs="Times New Roman"/>
          <w:sz w:val="24"/>
          <w:szCs w:val="24"/>
        </w:rPr>
        <w:t>würden</w:t>
      </w:r>
      <w:proofErr w:type="spellEnd"/>
      <w:r w:rsidR="00D1761B">
        <w:rPr>
          <w:rFonts w:ascii="Times New Roman" w:hAnsi="Times New Roman" w:cs="Times New Roman"/>
          <w:sz w:val="24"/>
          <w:szCs w:val="24"/>
        </w:rPr>
        <w:t>.  Auf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Einzelheiten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Längeren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Reichskanzlers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verstanden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durchgeführt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würden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A1CC6" w:rsidRPr="000D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A7"/>
    <w:rsid w:val="000C6A04"/>
    <w:rsid w:val="000D0DA7"/>
    <w:rsid w:val="00162D9A"/>
    <w:rsid w:val="00880C5F"/>
    <w:rsid w:val="00BA1CC6"/>
    <w:rsid w:val="00C26B66"/>
    <w:rsid w:val="00D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2013-01-10T13:29:00Z</dcterms:created>
  <dcterms:modified xsi:type="dcterms:W3CDTF">2013-01-10T15:07:00Z</dcterms:modified>
</cp:coreProperties>
</file>