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80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Religious Situation in Germany: Verifications and Clarifications,” </w:t>
      </w:r>
      <w:proofErr w:type="spellStart"/>
      <w:r w:rsidRPr="0080303E">
        <w:rPr>
          <w:rFonts w:ascii="Times New Roman" w:hAnsi="Times New Roman" w:cs="Times New Roman"/>
          <w:i/>
          <w:sz w:val="24"/>
          <w:szCs w:val="24"/>
        </w:rPr>
        <w:t>Osservatore</w:t>
      </w:r>
      <w:proofErr w:type="spellEnd"/>
      <w:r w:rsidRPr="0080303E">
        <w:rPr>
          <w:rFonts w:ascii="Times New Roman" w:hAnsi="Times New Roman" w:cs="Times New Roman"/>
          <w:i/>
          <w:sz w:val="24"/>
          <w:szCs w:val="24"/>
        </w:rPr>
        <w:t xml:space="preserve"> Romano</w:t>
      </w:r>
      <w:r>
        <w:rPr>
          <w:rFonts w:ascii="Times New Roman" w:hAnsi="Times New Roman" w:cs="Times New Roman"/>
          <w:sz w:val="24"/>
          <w:szCs w:val="24"/>
        </w:rPr>
        <w:t>, August 4, 1935, page one</w:t>
      </w:r>
    </w:p>
    <w:p w:rsidR="0080303E" w:rsidRDefault="0080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This past July 7</w:t>
      </w:r>
      <w:r w:rsidRPr="008030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His Excellency Dr. Frick, Interior Minister of the Reich, made official statements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our newspaper showed in an article, “Concordat Questions in Germany,” are irreconcilable with the Concordat concluded on July 20, 1933 between the Holy See and the German Reich.</w:t>
      </w:r>
    </w:p>
    <w:p w:rsidR="0080303E" w:rsidRPr="0080303E" w:rsidRDefault="0080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Ten days later, the Prussian Press Office and the “German News Bureau” published a summary of a circular decree of His Excellency Mr. Goering, Minister President of Prussia and head of the Secret State Police, to the higher local authorities, which spoke of a supposed “political Catholicism” and exhorted them “to proceed with all legal means against those ecclesiastics who abuse their spiritual ministry for political ends.</w:t>
      </w:r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 .</w:t>
      </w:r>
      <w:bookmarkStart w:id="0" w:name="_GoBack"/>
      <w:bookmarkEnd w:id="0"/>
    </w:p>
    <w:sectPr w:rsidR="0080303E" w:rsidRPr="0080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3E"/>
    <w:rsid w:val="000C6A04"/>
    <w:rsid w:val="0080303E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2013-01-31T02:05:00Z</dcterms:created>
  <dcterms:modified xsi:type="dcterms:W3CDTF">2013-01-31T02:13:00Z</dcterms:modified>
</cp:coreProperties>
</file>