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Georgia" w:cs="Georgia" w:eastAsia="Georgia" w:hAnsi="Georgia"/>
          <w:b/>
          <w:bCs/>
          <w:i w:val="false"/>
          <w:iCs w:val="false"/>
          <w:color w:val="D01047"/>
          <w:sz w:val="30"/>
          <w:szCs w:val="30"/>
        </w:rPr>
        <w:t xml:space="preserve">YUFORA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1646A"/>
          <w:sz w:val="20"/>
          <w:szCs w:val="20"/>
        </w:rPr>
        <w:t xml:space="preserve">  FILMS</w:t>
      </w:r>
    </w:p>
    <w:p>
      <w:pPr>
        <w:spacing w:after="40" w:before="120"/>
      </w:pPr>
      <w:r>
        <w:rPr>
          <w:rFonts w:ascii="Georgia" w:cs="Georgia" w:eastAsia="Georgia" w:hAnsi="Georgia"/>
          <w:b/>
          <w:bCs/>
          <w:i w:val="false"/>
          <w:iCs w:val="false"/>
          <w:color w:val="2B2226"/>
          <w:sz w:val="40"/>
          <w:szCs w:val="40"/>
        </w:rPr>
        <w:t xml:space="preserve">Film results sheet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1646A"/>
          <w:sz w:val="20"/>
          <w:szCs w:val="20"/>
        </w:rPr>
        <w:t xml:space="preserve">Organization: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226"/>
          <w:sz w:val="20"/>
          <w:szCs w:val="20"/>
          <w:highlight w:val="yellow"/>
          <w:highlightCs w:val="yellow"/>
        </w:rPr>
        <w:t xml:space="preserve">[Organization name]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1646A"/>
          <w:sz w:val="20"/>
          <w:szCs w:val="20"/>
        </w:rPr>
        <w:t xml:space="preserve">   Film: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226"/>
          <w:sz w:val="20"/>
          <w:szCs w:val="20"/>
          <w:highlight w:val="yellow"/>
          <w:highlightCs w:val="yellow"/>
        </w:rPr>
        <w:t xml:space="preserve">[Film title]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1646A"/>
          <w:sz w:val="20"/>
          <w:szCs w:val="20"/>
        </w:rPr>
        <w:t xml:space="preserve">   Window: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226"/>
          <w:sz w:val="20"/>
          <w:szCs w:val="20"/>
          <w:highlight w:val="yellow"/>
          <w:highlightCs w:val="yellow"/>
        </w:rPr>
        <w:t xml:space="preserve">[start date]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1646A"/>
          <w:sz w:val="20"/>
          <w:szCs w:val="20"/>
        </w:rPr>
        <w:t xml:space="preserve"> –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226"/>
          <w:sz w:val="20"/>
          <w:szCs w:val="20"/>
          <w:highlight w:val="yellow"/>
          <w:highlightCs w:val="yellow"/>
        </w:rPr>
        <w:t xml:space="preserve">[end date]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1646A"/>
          <w:sz w:val="20"/>
          <w:szCs w:val="20"/>
        </w:rPr>
        <w:t xml:space="preserve">  (60 days from launch)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D01047"/>
          <w:sz w:val="17"/>
          <w:szCs w:val="17"/>
        </w:rPr>
        <w:t xml:space="preserve">THE HEADLINE</w:t>
      </w:r>
    </w:p>
    <w:tbl>
      <w:tblPr>
        <w:tblW w:type="dxa" w:w="10224"/>
        <w:tblBorders>
          <w:top w:val="single" w:color="EADDE1" w:sz="4"/>
          <w:left w:val="single" w:color="EADDE1" w:sz="4"/>
          <w:bottom w:val="single" w:color="EADDE1" w:sz="4"/>
          <w:right w:val="single" w:color="EADDE1" w:sz="4"/>
          <w:insideH w:val="single" w:color="EADDE1" w:sz="4"/>
          <w:insideV w:val="single" w:color="EADDE1" w:sz="4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shd w:fill="FBE9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B2226"/>
                <w:sz w:val="34"/>
                <w:szCs w:val="34"/>
                <w:highlight w:val="yellow"/>
                <w:highlightCs w:val="yellow"/>
              </w:rPr>
              <w:t xml:space="preserve">$0,000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1646A"/>
                <w:sz w:val="16"/>
                <w:szCs w:val="16"/>
              </w:rPr>
              <w:t xml:space="preserve">raised on film-backed pages</w:t>
            </w:r>
          </w:p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1646A"/>
                <w:sz w:val="16"/>
                <w:szCs w:val="16"/>
              </w:rPr>
              <w:t xml:space="preserve">prior 60 days: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226"/>
                <w:sz w:val="16"/>
                <w:szCs w:val="16"/>
                <w:highlight w:val="yellow"/>
                <w:highlightCs w:val="yellow"/>
              </w:rPr>
              <w:t xml:space="preserve">$0,000</w:t>
            </w:r>
          </w:p>
        </w:tc>
        <w:tc>
          <w:tcPr>
            <w:tcW w:type="dxa" w:w="340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B2226"/>
                <w:sz w:val="34"/>
                <w:szCs w:val="34"/>
                <w:highlight w:val="yellow"/>
                <w:highlightCs w:val="yellow"/>
              </w:rPr>
              <w:t xml:space="preserve">00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1646A"/>
                <w:sz w:val="16"/>
                <w:szCs w:val="16"/>
              </w:rPr>
              <w:t xml:space="preserve">gifts in the window</w:t>
            </w:r>
          </w:p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1646A"/>
                <w:sz w:val="16"/>
                <w:szCs w:val="16"/>
              </w:rPr>
              <w:t xml:space="preserve">prior 60 days: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226"/>
                <w:sz w:val="16"/>
                <w:szCs w:val="16"/>
                <w:highlight w:val="yellow"/>
                <w:highlightCs w:val="yellow"/>
              </w:rPr>
              <w:t xml:space="preserve">00</w:t>
            </w:r>
          </w:p>
        </w:tc>
        <w:tc>
          <w:tcPr>
            <w:tcW w:type="dxa" w:w="340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B2226"/>
                <w:sz w:val="34"/>
                <w:szCs w:val="34"/>
                <w:highlight w:val="yellow"/>
                <w:highlightCs w:val="yellow"/>
              </w:rPr>
              <w:t xml:space="preserve">$00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1646A"/>
                <w:sz w:val="16"/>
                <w:szCs w:val="16"/>
              </w:rPr>
              <w:t xml:space="preserve">average gift</w:t>
            </w:r>
          </w:p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1646A"/>
                <w:sz w:val="16"/>
                <w:szCs w:val="16"/>
              </w:rPr>
              <w:t xml:space="preserve">prior 60 days: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226"/>
                <w:sz w:val="16"/>
                <w:szCs w:val="16"/>
                <w:highlight w:val="yellow"/>
                <w:highlightCs w:val="yellow"/>
              </w:rPr>
              <w:t xml:space="preserve">$00</w:t>
            </w:r>
          </w:p>
        </w:tc>
      </w:tr>
    </w:tbl>
    <w:p>
      <w:pPr>
        <w:spacing w:after="10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D01047"/>
          <w:sz w:val="17"/>
          <w:szCs w:val="17"/>
        </w:rPr>
        <w:t xml:space="preserve">WHERE THE FILM RAN</w:t>
      </w:r>
    </w:p>
    <w:tbl>
      <w:tblPr>
        <w:tblW w:type="dxa" w:w="10224"/>
        <w:tblBorders>
          <w:top w:val="single" w:color="EADDE1" w:sz="4"/>
          <w:left w:val="single" w:color="EADDE1" w:sz="4"/>
          <w:bottom w:val="single" w:color="EADDE1" w:sz="4"/>
          <w:right w:val="single" w:color="EADDE1" w:sz="4"/>
          <w:insideH w:val="single" w:color="EADDE1" w:sz="4"/>
          <w:insideV w:val="single" w:color="EADDE1" w:sz="4"/>
        </w:tblBorders>
      </w:tblPr>
      <w:tblGrid>
        <w:gridCol w:w="3400"/>
        <w:gridCol w:w="4424"/>
        <w:gridCol w:w="2400"/>
      </w:tblGrid>
      <w:tr>
        <w:trPr>
          <w:tblHeader/>
        </w:trPr>
        <w:tc>
          <w:tcPr>
            <w:tcW w:type="dxa" w:w="3400"/>
            <w:shd w:fill="F5F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1646A"/>
                <w:sz w:val="17"/>
                <w:szCs w:val="17"/>
              </w:rPr>
              <w:t xml:space="preserve">Placement</w:t>
            </w:r>
          </w:p>
        </w:tc>
        <w:tc>
          <w:tcPr>
            <w:tcW w:type="dxa" w:w="4424"/>
            <w:shd w:fill="F5F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1646A"/>
                <w:sz w:val="17"/>
                <w:szCs w:val="17"/>
              </w:rPr>
              <w:t xml:space="preserve">Tagged link (utm_campaign)</w:t>
            </w:r>
          </w:p>
        </w:tc>
        <w:tc>
          <w:tcPr>
            <w:tcW w:type="dxa" w:w="2400"/>
            <w:shd w:fill="F5F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1646A"/>
                <w:sz w:val="17"/>
                <w:szCs w:val="17"/>
              </w:rPr>
              <w:t xml:space="preserve">Live since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226"/>
                <w:sz w:val="20"/>
                <w:szCs w:val="20"/>
              </w:rPr>
              <w:t xml:space="preserve">Giving page — top of page</w:t>
            </w:r>
          </w:p>
        </w:tc>
        <w:tc>
          <w:tcPr>
            <w:tcW w:type="dxa" w:w="442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226"/>
                <w:sz w:val="18"/>
                <w:szCs w:val="18"/>
                <w:highlight w:val="yellow"/>
                <w:highlightCs w:val="yellow"/>
              </w:rPr>
              <w:t xml:space="preserve">[…utm_campaign=film-give]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226"/>
                <w:sz w:val="20"/>
                <w:szCs w:val="20"/>
                <w:highlight w:val="yellow"/>
                <w:highlightCs w:val="yellow"/>
              </w:rPr>
              <w:t xml:space="preserve">[date]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226"/>
                <w:sz w:val="20"/>
                <w:szCs w:val="20"/>
              </w:rPr>
              <w:t xml:space="preserve">Appeal email — anchor</w:t>
            </w:r>
          </w:p>
        </w:tc>
        <w:tc>
          <w:tcPr>
            <w:tcW w:type="dxa" w:w="442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226"/>
                <w:sz w:val="18"/>
                <w:szCs w:val="18"/>
                <w:highlight w:val="yellow"/>
                <w:highlightCs w:val="yellow"/>
              </w:rPr>
              <w:t xml:space="preserve">[…utm_campaign=film-appeal]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226"/>
                <w:sz w:val="20"/>
                <w:szCs w:val="20"/>
                <w:highlight w:val="yellow"/>
                <w:highlightCs w:val="yellow"/>
              </w:rPr>
              <w:t xml:space="preserve">[date]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226"/>
                <w:sz w:val="20"/>
                <w:szCs w:val="20"/>
              </w:rPr>
              <w:t xml:space="preserve">Social — pinned / bio link</w:t>
            </w:r>
          </w:p>
        </w:tc>
        <w:tc>
          <w:tcPr>
            <w:tcW w:type="dxa" w:w="442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226"/>
                <w:sz w:val="18"/>
                <w:szCs w:val="18"/>
                <w:highlight w:val="yellow"/>
                <w:highlightCs w:val="yellow"/>
              </w:rPr>
              <w:t xml:space="preserve">[…utm_campaign=film-social]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226"/>
                <w:sz w:val="20"/>
                <w:szCs w:val="20"/>
                <w:highlight w:val="yellow"/>
                <w:highlightCs w:val="yellow"/>
              </w:rPr>
              <w:t xml:space="preserve">[date]</w:t>
            </w:r>
          </w:p>
        </w:tc>
      </w:tr>
    </w:tbl>
    <w:p>
      <w:pPr>
        <w:spacing w:after="10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D01047"/>
          <w:sz w:val="17"/>
          <w:szCs w:val="17"/>
        </w:rPr>
        <w:t xml:space="preserve">BEFORE AND AFTER</w:t>
      </w:r>
    </w:p>
    <w:tbl>
      <w:tblPr>
        <w:tblW w:type="dxa" w:w="10224"/>
        <w:tblBorders>
          <w:top w:val="single" w:color="EADDE1" w:sz="4"/>
          <w:left w:val="single" w:color="EADDE1" w:sz="4"/>
          <w:bottom w:val="single" w:color="EADDE1" w:sz="4"/>
          <w:right w:val="single" w:color="EADDE1" w:sz="4"/>
          <w:insideH w:val="single" w:color="EADDE1" w:sz="4"/>
          <w:insideV w:val="single" w:color="EADDE1" w:sz="4"/>
        </w:tblBorders>
      </w:tblPr>
      <w:tblGrid>
        <w:gridCol w:w="3800"/>
        <w:gridCol w:w="1700"/>
        <w:gridCol w:w="1700"/>
        <w:gridCol w:w="3024"/>
      </w:tblGrid>
      <w:tr>
        <w:trPr>
          <w:tblHeader/>
        </w:trPr>
        <w:tc>
          <w:tcPr>
            <w:tcW w:type="dxa" w:w="3800"/>
            <w:shd w:fill="F5F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1646A"/>
                <w:sz w:val="17"/>
                <w:szCs w:val="17"/>
              </w:rPr>
              <w:t xml:space="preserve">Metric</w:t>
            </w:r>
          </w:p>
        </w:tc>
        <w:tc>
          <w:tcPr>
            <w:tcW w:type="dxa" w:w="1700"/>
            <w:shd w:fill="F5F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1646A"/>
                <w:sz w:val="17"/>
                <w:szCs w:val="17"/>
              </w:rPr>
              <w:t xml:space="preserve">Before</w:t>
            </w:r>
          </w:p>
        </w:tc>
        <w:tc>
          <w:tcPr>
            <w:tcW w:type="dxa" w:w="1700"/>
            <w:shd w:fill="F5F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1646A"/>
                <w:sz w:val="17"/>
                <w:szCs w:val="17"/>
              </w:rPr>
              <w:t xml:space="preserve">After</w:t>
            </w:r>
          </w:p>
        </w:tc>
        <w:tc>
          <w:tcPr>
            <w:tcW w:type="dxa" w:w="3024"/>
            <w:shd w:fill="F5F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1646A"/>
                <w:sz w:val="17"/>
                <w:szCs w:val="17"/>
              </w:rPr>
              <w:t xml:space="preserve">Sector anchor</w:t>
            </w:r>
          </w:p>
        </w:tc>
      </w:tr>
      <w:tr>
        <w:tc>
          <w:tcPr>
            <w:tcW w:type="dxa" w:w="3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226"/>
                <w:sz w:val="20"/>
                <w:szCs w:val="20"/>
              </w:rPr>
              <w:t xml:space="preserve">Giving-page conversion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226"/>
                <w:sz w:val="20"/>
                <w:szCs w:val="20"/>
                <w:highlight w:val="yellow"/>
                <w:highlightCs w:val="yellow"/>
              </w:rPr>
              <w:t xml:space="preserve">0.0%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226"/>
                <w:sz w:val="20"/>
                <w:szCs w:val="20"/>
                <w:highlight w:val="yellow"/>
                <w:highlightCs w:val="yellow"/>
              </w:rPr>
              <w:t xml:space="preserve">0.0%</w:t>
            </w:r>
          </w:p>
        </w:tc>
        <w:tc>
          <w:tcPr>
            <w:tcW w:type="dxa" w:w="302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1646A"/>
                <w:sz w:val="17"/>
                <w:szCs w:val="17"/>
              </w:rPr>
              <w:t xml:space="preserve">11% desktop / 8% mobile — M+R 2026</w:t>
            </w:r>
          </w:p>
        </w:tc>
      </w:tr>
      <w:tr>
        <w:tc>
          <w:tcPr>
            <w:tcW w:type="dxa" w:w="3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226"/>
                <w:sz w:val="20"/>
                <w:szCs w:val="20"/>
              </w:rPr>
              <w:t xml:space="preserve">Appeal email click-through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226"/>
                <w:sz w:val="20"/>
                <w:szCs w:val="20"/>
                <w:highlight w:val="yellow"/>
                <w:highlightCs w:val="yellow"/>
              </w:rPr>
              <w:t xml:space="preserve">0.0%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226"/>
                <w:sz w:val="20"/>
                <w:szCs w:val="20"/>
                <w:highlight w:val="yellow"/>
                <w:highlightCs w:val="yellow"/>
              </w:rPr>
              <w:t xml:space="preserve">0.0%</w:t>
            </w:r>
          </w:p>
        </w:tc>
        <w:tc>
          <w:tcPr>
            <w:tcW w:type="dxa" w:w="302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1646A"/>
                <w:sz w:val="17"/>
                <w:szCs w:val="17"/>
              </w:rPr>
              <w:t xml:space="preserve">0.59% — M+R 2026</w:t>
            </w:r>
          </w:p>
        </w:tc>
      </w:tr>
      <w:tr>
        <w:tc>
          <w:tcPr>
            <w:tcW w:type="dxa" w:w="3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226"/>
                <w:sz w:val="20"/>
                <w:szCs w:val="20"/>
              </w:rPr>
              <w:t xml:space="preserve">Film plays (context, not the goal)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C8D93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226"/>
                <w:sz w:val="20"/>
                <w:szCs w:val="20"/>
                <w:highlight w:val="yellow"/>
                <w:highlightCs w:val="yellow"/>
              </w:rPr>
              <w:t xml:space="preserve">000</w:t>
            </w:r>
          </w:p>
        </w:tc>
        <w:tc>
          <w:tcPr>
            <w:tcW w:type="dxa" w:w="302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1646A"/>
                <w:sz w:val="17"/>
                <w:szCs w:val="17"/>
              </w:rPr>
              <w:t xml:space="preserve">no honest sector anchor exists</w:t>
            </w:r>
          </w:p>
        </w:tc>
      </w:tr>
    </w:tbl>
    <w:p>
      <w:pPr>
        <w:spacing w:after="10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D01047"/>
          <w:sz w:val="17"/>
          <w:szCs w:val="17"/>
        </w:rPr>
        <w:t xml:space="preserve">READ HONESTLY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2B2226"/>
          <w:sz w:val="20"/>
          <w:szCs w:val="20"/>
        </w:rPr>
        <w:t xml:space="preserve">Windows are like-for-like: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226"/>
          <w:sz w:val="20"/>
          <w:szCs w:val="20"/>
          <w:highlight w:val="yellow"/>
          <w:highlightCs w:val="yellow"/>
        </w:rPr>
        <w:t xml:space="preserve">[dates]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226"/>
          <w:sz w:val="20"/>
          <w:szCs w:val="20"/>
        </w:rPr>
        <w:t xml:space="preserve"> vs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226"/>
          <w:sz w:val="20"/>
          <w:szCs w:val="20"/>
          <w:highlight w:val="yellow"/>
          <w:highlightCs w:val="yellow"/>
        </w:rPr>
        <w:t xml:space="preserve">[dates]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226"/>
          <w:sz w:val="20"/>
          <w:szCs w:val="20"/>
        </w:rPr>
        <w:t xml:space="preserve">. If either touches November–December, this sheet compares against the </w:t>
      </w:r>
      <w:r>
        <w:rPr>
          <w:rFonts w:ascii="Calibri" w:cs="Calibri" w:eastAsia="Calibri" w:hAnsi="Calibri"/>
          <w:b w:val="false"/>
          <w:bCs w:val="false"/>
          <w:i/>
          <w:iCs/>
          <w:color w:val="2B2226"/>
          <w:sz w:val="20"/>
          <w:szCs w:val="20"/>
        </w:rPr>
        <w:t xml:space="preserve">same weeks last year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226"/>
          <w:sz w:val="20"/>
          <w:szCs w:val="20"/>
        </w:rPr>
        <w:t xml:space="preserve"> instead — December is 37% of annual online giving, and we don't sell seasonality as skill.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2B2226"/>
          <w:sz w:val="20"/>
          <w:szCs w:val="20"/>
        </w:rPr>
        <w:t xml:space="preserve">Attribution is last-click through the tagged links above.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226"/>
          <w:sz w:val="20"/>
          <w:szCs w:val="20"/>
        </w:rPr>
        <w:t xml:space="preserve">If someone watched the film and gave later through another door, it isn't counted here — the real number is likely a little better than this sheet claims, never worse.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2B2226"/>
          <w:sz w:val="20"/>
          <w:szCs w:val="20"/>
        </w:rPr>
        <w:t xml:space="preserve">If the film moved nothing, this sheet says so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226"/>
          <w:sz w:val="20"/>
          <w:szCs w:val="20"/>
        </w:rPr>
        <w:t xml:space="preserve"> — and the next-steps below are where we earn the re-cut.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D01047"/>
          <w:sz w:val="17"/>
          <w:szCs w:val="17"/>
        </w:rPr>
        <w:t xml:space="preserve">WHAT WE'D DO NEXT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226"/>
          <w:sz w:val="20"/>
          <w:szCs w:val="20"/>
          <w:highlight w:val="yellow"/>
          <w:highlightCs w:val="yellow"/>
        </w:rPr>
        <w:t xml:space="preserve">[e.g. Move the film above the donate button on mobile — mobile conversion lagged desktop]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226"/>
          <w:sz w:val="20"/>
          <w:szCs w:val="20"/>
          <w:highlight w:val="yellow"/>
          <w:highlightCs w:val="yellow"/>
        </w:rPr>
        <w:t xml:space="preserve">[e.g. Cut a 30-second version for the year-end appeal email]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226"/>
          <w:sz w:val="20"/>
          <w:szCs w:val="20"/>
          <w:highlight w:val="yellow"/>
          <w:highlightCs w:val="yellow"/>
        </w:rPr>
        <w:t xml:space="preserve">[e.g. Re-run the before/after across the year-end window with YoY controls]</w:t>
      </w:r>
    </w:p>
    <w:p>
      <w:pPr>
        <w:pBdr>
          <w:top w:val="single" w:color="EADDE1" w:sz="4"/>
        </w:pBdr>
        <w:spacing w:befor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C8D93"/>
          <w:sz w:val="16"/>
          <w:szCs w:val="16"/>
        </w:rPr>
        <w:t xml:space="preserve">Prepared by Yufora Films · benchmarks: M+R Benchmarks 2026 · This sheet reports money and behavior. It does not report opens, impressions, or follower counts — on purpose.</w:t>
      </w:r>
    </w:p>
    <w:p>
      <w:r>
        <w:br w:type="page"/>
      </w:r>
    </w:p>
    <w:p>
      <w:pPr>
        <w:shd w:fill="FBE9EE" w:val="clear"/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D01047"/>
          <w:sz w:val="20"/>
          <w:szCs w:val="20"/>
        </w:rPr>
        <w:t xml:space="preserve">  HOW TO USE THIS TEMPLATE — DELETE THIS PAGE BEFORE SENDING  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226"/>
          <w:sz w:val="20"/>
          <w:szCs w:val="20"/>
        </w:rPr>
        <w:t xml:space="preserve">Twenty minutes, once, at day 60. Fill every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226"/>
          <w:sz w:val="20"/>
          <w:szCs w:val="20"/>
          <w:highlight w:val="yellow"/>
          <w:highlightCs w:val="yellow"/>
        </w:rPr>
        <w:t xml:space="preserve">yellow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226"/>
          <w:sz w:val="20"/>
          <w:szCs w:val="20"/>
        </w:rPr>
        <w:t xml:space="preserve"> field; delete this page; export as PDF; email it.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D01047"/>
          <w:sz w:val="17"/>
          <w:szCs w:val="17"/>
        </w:rPr>
        <w:t xml:space="preserve">WHERE EACH NUMBER COMES FROM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2B2226"/>
          <w:sz w:val="20"/>
          <w:szCs w:val="20"/>
        </w:rPr>
        <w:t xml:space="preserve">Raised / gifts / average gift: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226"/>
          <w:sz w:val="20"/>
          <w:szCs w:val="20"/>
        </w:rPr>
        <w:t xml:space="preserve">the charity's giving platform or Stripe dashboard, filtered to the giving page(s) the film runs on, for the 60-day window and the 60 days prior.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2B2226"/>
          <w:sz w:val="20"/>
          <w:szCs w:val="20"/>
        </w:rPr>
        <w:t xml:space="preserve">Giving-page conversion: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226"/>
          <w:sz w:val="20"/>
          <w:szCs w:val="20"/>
        </w:rPr>
        <w:t xml:space="preserve">GA4 → Reports → Engagement → Landing pages (or Explore): donations ÷ sessions on that page. Same filter both windows. If GA4 isn't set up, page sessions from the host platform work — just use the same source before and after.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2B2226"/>
          <w:sz w:val="20"/>
          <w:szCs w:val="20"/>
        </w:rPr>
        <w:t xml:space="preserve">Appeal email click-through: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226"/>
          <w:sz w:val="20"/>
          <w:szCs w:val="20"/>
        </w:rPr>
        <w:t xml:space="preserve">the ESP's campaign report (Mailchimp etc.): unique clicks ÷ delivered. Compare to the most recent pre-film appeal to a similar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2B2226"/>
          <w:sz w:val="20"/>
          <w:szCs w:val="20"/>
        </w:rPr>
        <w:t xml:space="preserve">Tagged links: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226"/>
          <w:sz w:val="20"/>
          <w:szCs w:val="20"/>
        </w:rPr>
        <w:t xml:space="preserve">every placement gets ?utm_source=…&amp;utm_medium=…&amp;utm_campaign=film-give / film-appeal / film-social. Set them up on launch day — this sheet is only as honest as its tags.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D01047"/>
          <w:sz w:val="17"/>
          <w:szCs w:val="17"/>
        </w:rPr>
        <w:t xml:space="preserve">THE RULES THAT KEEP IT HONEST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226"/>
          <w:sz w:val="20"/>
          <w:szCs w:val="20"/>
        </w:rPr>
        <w:t xml:space="preserve">Never compare across November–December without a year-over-year control. If the window touches Q4, compare to the same weeks last year.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226"/>
          <w:sz w:val="20"/>
          <w:szCs w:val="20"/>
        </w:rPr>
        <w:t xml:space="preserve">Same measurement source before and after. Never mix GA4 sessions with platform pageviews.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226"/>
          <w:sz w:val="20"/>
          <w:szCs w:val="20"/>
        </w:rPr>
        <w:t xml:space="preserve">A bad number ships anyway. The credibility of every future sheet depends on this one being believable.</w:t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22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2026-08-10T16:04:15.620Z</dcterms:created>
  <dcterms:modified xsi:type="dcterms:W3CDTF">2026-08-10T16:04:15.620Z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