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124F" w14:textId="77777777" w:rsidR="00115216" w:rsidRDefault="00D82DA7">
      <w:pPr>
        <w:pStyle w:val="Ttulo2"/>
        <w:tabs>
          <w:tab w:val="right" w:pos="8645"/>
          <w:tab w:val="center" w:pos="8362"/>
          <w:tab w:val="right" w:pos="3401"/>
          <w:tab w:val="center" w:pos="3118"/>
        </w:tabs>
        <w:spacing w:after="0"/>
        <w:jc w:val="center"/>
        <w:rPr>
          <w:sz w:val="22"/>
          <w:szCs w:val="22"/>
        </w:rPr>
      </w:pPr>
      <w:bookmarkStart w:id="0" w:name="_uw3taxbafg2" w:colFirst="0" w:colLast="0"/>
      <w:bookmarkStart w:id="1" w:name="_Hlk101909961"/>
      <w:bookmarkEnd w:id="0"/>
      <w:bookmarkEnd w:id="1"/>
      <w:r>
        <w:rPr>
          <w:noProof/>
          <w:sz w:val="22"/>
          <w:szCs w:val="22"/>
        </w:rPr>
        <w:drawing>
          <wp:inline distT="114300" distB="114300" distL="114300" distR="114300" wp14:anchorId="13B11D0C" wp14:editId="0CB41BB8">
            <wp:extent cx="5136480" cy="1024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36480" cy="1024450"/>
                    </a:xfrm>
                    <a:prstGeom prst="rect">
                      <a:avLst/>
                    </a:prstGeom>
                    <a:ln/>
                  </pic:spPr>
                </pic:pic>
              </a:graphicData>
            </a:graphic>
          </wp:inline>
        </w:drawing>
      </w:r>
    </w:p>
    <w:p w14:paraId="1393AE51" w14:textId="77777777" w:rsidR="00562C9F" w:rsidRPr="00562C9F" w:rsidRDefault="00562C9F" w:rsidP="00562C9F">
      <w:pPr>
        <w:pStyle w:val="FIATITLE"/>
        <w:spacing w:after="0"/>
        <w:rPr>
          <w:sz w:val="24"/>
          <w:szCs w:val="24"/>
        </w:rPr>
      </w:pPr>
      <w:bookmarkStart w:id="2" w:name="_8f1y0o90e05h" w:colFirst="0" w:colLast="0"/>
      <w:bookmarkEnd w:id="2"/>
    </w:p>
    <w:p w14:paraId="33E739D4" w14:textId="2D8B68C6" w:rsidR="00115216" w:rsidRDefault="00D82DA7" w:rsidP="009D17EF">
      <w:pPr>
        <w:pStyle w:val="FIATITLE"/>
      </w:pPr>
      <w:r>
        <w:t xml:space="preserve">Instruções e modelo de artigo para o FIA 2020/22 e </w:t>
      </w:r>
      <w:r>
        <w:br/>
        <w:t>XXIX Encontro da Sobrac</w:t>
      </w:r>
    </w:p>
    <w:p w14:paraId="48A242FF" w14:textId="77777777" w:rsidR="00115216" w:rsidRDefault="00D82DA7" w:rsidP="009D17EF">
      <w:pPr>
        <w:pStyle w:val="FIAAUTHORS"/>
      </w:pPr>
      <w:bookmarkStart w:id="3" w:name="_gpwaydbdosh9" w:colFirst="0" w:colLast="0"/>
      <w:bookmarkEnd w:id="3"/>
      <w:r>
        <w:t>Fonseca, W. D’A.</w:t>
      </w:r>
      <w:r>
        <w:rPr>
          <w:vertAlign w:val="superscript"/>
        </w:rPr>
        <w:t>1</w:t>
      </w:r>
      <w:r>
        <w:t>; Sobrenome, N.</w:t>
      </w:r>
      <w:r>
        <w:rPr>
          <w:vertAlign w:val="superscript"/>
        </w:rPr>
        <w:t>2</w:t>
      </w:r>
    </w:p>
    <w:bookmarkStart w:id="4" w:name="_1pcr7pcu1ozn" w:colFirst="0" w:colLast="0"/>
    <w:bookmarkEnd w:id="4"/>
    <w:p w14:paraId="13F10755" w14:textId="583F4753" w:rsidR="00115216" w:rsidRDefault="00562C9F"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4E31A725">
                <wp:simplePos x="0" y="0"/>
                <wp:positionH relativeFrom="margin">
                  <wp:posOffset>0</wp:posOffset>
                </wp:positionH>
                <wp:positionV relativeFrom="margin">
                  <wp:posOffset>2585085</wp:posOffset>
                </wp:positionV>
                <wp:extent cx="6264000" cy="10800"/>
                <wp:effectExtent l="0" t="0" r="0" b="0"/>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6D348242" id="_x0000_t32" coordsize="21600,21600" o:spt="32" o:oned="t" path="m,l21600,21600e" filled="f">
                <v:path arrowok="t" fillok="f" o:connecttype="none"/>
                <o:lock v:ext="edit" shapetype="t"/>
              </v:shapetype>
              <v:shape id="Conector de Seta Reta 3" o:spid="_x0000_s1026" type="#_x0000_t32" style="position:absolute;margin-left:0;margin-top:203.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" strokecolor="#5fc9e1">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77777777" w:rsidR="00115216" w:rsidRDefault="00D82DA7" w:rsidP="009D17EF">
      <w:pPr>
        <w:pStyle w:val="FIAABSTITLE"/>
      </w:pPr>
      <w:bookmarkStart w:id="5" w:name="_o1fbls5z01m4" w:colFirst="0" w:colLast="0"/>
      <w:bookmarkEnd w:id="5"/>
      <w:r>
        <w:t>Resumo</w:t>
      </w:r>
    </w:p>
    <w:p w14:paraId="0E4A7942" w14:textId="77777777" w:rsidR="00115216" w:rsidRDefault="00115216">
      <w:pPr>
        <w:pStyle w:val="Ttulo2"/>
        <w:tabs>
          <w:tab w:val="right" w:pos="8645"/>
          <w:tab w:val="center" w:pos="8362"/>
          <w:tab w:val="right" w:pos="3401"/>
          <w:tab w:val="center" w:pos="3118"/>
        </w:tabs>
        <w:spacing w:after="0"/>
        <w:jc w:val="left"/>
        <w:rPr>
          <w:sz w:val="12"/>
          <w:szCs w:val="12"/>
        </w:rPr>
      </w:pPr>
      <w:bookmarkStart w:id="6" w:name="_g669aeueoep0" w:colFirst="0" w:colLast="0"/>
      <w:bookmarkEnd w:id="6"/>
    </w:p>
    <w:p w14:paraId="5A1A9777" w14:textId="4E5D1C30" w:rsidR="00115216" w:rsidRDefault="00D82DA7" w:rsidP="009D17EF">
      <w:pPr>
        <w:pStyle w:val="FIAABS"/>
        <w:rPr>
          <w:b/>
        </w:rPr>
      </w:pPr>
      <w:bookmarkStart w:id="7" w:name="_kkahfyy8v1ro" w:colFirst="0" w:colLast="0"/>
      <w:bookmarkEnd w:id="7"/>
      <w:r>
        <w:t xml:space="preserve">Esse campo é destinado ao resumo do artigo que deve ter entre 180 e 300 palavras. O resumo, palavras-chave, PACS,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w:t>
      </w:r>
      <w:r w:rsidR="00383635">
        <w:t>a segunda</w:t>
      </w:r>
      <w:r>
        <w:t xml:space="preserve">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BA0FB0">
        <w:t>-</w:t>
      </w:r>
      <w:r>
        <w:t>chave (evite colocar as mesmas palavras que formam o título do artigo). Após essa etapa, há ainda os PACS, que são um sistema de classificação hierárquica (mais detalhes no texto) e, em conseguinte,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8" w:name="_3m7np2ivierg" w:colFirst="0" w:colLast="0"/>
      <w:bookmarkEnd w:id="8"/>
      <w:r>
        <w:rPr>
          <w:sz w:val="16"/>
          <w:szCs w:val="16"/>
        </w:rPr>
        <w:t xml:space="preserve"> </w:t>
      </w:r>
    </w:p>
    <w:p w14:paraId="0F5945E2" w14:textId="77777777" w:rsidR="00115216" w:rsidRDefault="00D82DA7" w:rsidP="009D17EF">
      <w:pPr>
        <w:pStyle w:val="FIAKEYWORDS"/>
        <w:rPr>
          <w:sz w:val="8"/>
          <w:szCs w:val="8"/>
        </w:rPr>
      </w:pPr>
      <w:bookmarkStart w:id="9" w:name="_sf7qmbfm59hs" w:colFirst="0" w:colLast="0"/>
      <w:bookmarkEnd w:id="9"/>
      <w:r>
        <w:t xml:space="preserve">Palavras-chave: </w:t>
      </w:r>
      <w:r w:rsidRPr="00B02A24">
        <w:rPr>
          <w:b w:val="0"/>
          <w:bCs/>
        </w:rPr>
        <w:t>artigo técnico, FIA, Sobrac, acústica, vibrações.</w:t>
      </w:r>
      <w:r w:rsidRPr="00B02A24">
        <w:rPr>
          <w:b w:val="0"/>
          <w:bCs/>
        </w:rPr>
        <w:br/>
      </w:r>
      <w:r>
        <w:rPr>
          <w:sz w:val="8"/>
          <w:szCs w:val="8"/>
        </w:rPr>
        <w:t xml:space="preserve">   </w:t>
      </w:r>
    </w:p>
    <w:p w14:paraId="6EDAA7AB" w14:textId="66937EEC" w:rsidR="00115216" w:rsidRPr="00562C9F" w:rsidRDefault="00D82DA7" w:rsidP="00B02A24">
      <w:pPr>
        <w:pStyle w:val="FIAKEYWORDS"/>
        <w:rPr>
          <w:lang w:val="en-US"/>
        </w:rPr>
      </w:pPr>
      <w:bookmarkStart w:id="10" w:name="_ypu2w1v5w2o6" w:colFirst="0" w:colLast="0"/>
      <w:bookmarkEnd w:id="10"/>
      <w:r>
        <w:t>PACS:</w:t>
      </w:r>
      <w:r>
        <w:rPr>
          <w:sz w:val="16"/>
          <w:szCs w:val="16"/>
        </w:rPr>
        <w:t xml:space="preserve"> </w:t>
      </w:r>
      <w:r w:rsidRPr="00562C9F">
        <w:rPr>
          <w:b w:val="0"/>
          <w:bCs/>
          <w:sz w:val="16"/>
          <w:szCs w:val="16"/>
          <w:lang w:val="en-US"/>
        </w:rPr>
        <w:t xml:space="preserve"> </w:t>
      </w:r>
      <w:r w:rsidR="00B12F88" w:rsidRPr="00B12F88">
        <w:rPr>
          <w:b w:val="0"/>
          <w:bCs/>
          <w:lang w:val="en-US"/>
        </w:rPr>
        <w:t>please refer to</w:t>
      </w:r>
      <w:r w:rsidRPr="00562C9F">
        <w:rPr>
          <w:b w:val="0"/>
          <w:bCs/>
          <w:lang w:val="en-US"/>
        </w:rPr>
        <w:t xml:space="preserve"> the instructions inside this template.</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11" w:name="_7s9qpppb2xcq" w:colFirst="0" w:colLast="0"/>
      <w:bookmarkEnd w:id="11"/>
    </w:p>
    <w:p w14:paraId="44A597CB" w14:textId="77777777" w:rsidR="00115216" w:rsidRPr="00562C9F" w:rsidRDefault="00D82DA7" w:rsidP="00BA5B2B">
      <w:pPr>
        <w:pStyle w:val="FIAABSTITLE"/>
        <w:rPr>
          <w:lang w:val="en-US"/>
        </w:rPr>
      </w:pPr>
      <w:bookmarkStart w:id="12" w:name="_a7qh1ekip78a" w:colFirst="0" w:colLast="0"/>
      <w:bookmarkEnd w:id="12"/>
      <w:r w:rsidRPr="00562C9F">
        <w:rPr>
          <w:lang w:val="en-US"/>
        </w:rPr>
        <w:t>Instructions and article template for FIA 2020/22 and XXIX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3" w:name="_otkvazb5gzf5" w:colFirst="0" w:colLast="0"/>
      <w:bookmarkEnd w:id="13"/>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4" w:name="_ohbrqntb90z8" w:colFirst="0" w:colLast="0"/>
      <w:bookmarkEnd w:id="14"/>
      <w:r w:rsidRPr="00562C9F">
        <w:rPr>
          <w:lang w:val="en-US"/>
        </w:rPr>
        <w:t>Abstract</w:t>
      </w:r>
      <w:r w:rsidRPr="00562C9F">
        <w:rPr>
          <w:lang w:val="en-US"/>
        </w:rPr>
        <w:br/>
      </w:r>
      <w:r w:rsidRPr="00562C9F">
        <w:rPr>
          <w:sz w:val="12"/>
          <w:szCs w:val="12"/>
          <w:lang w:val="en-US"/>
        </w:rPr>
        <w:t xml:space="preserve">  </w:t>
      </w:r>
    </w:p>
    <w:p w14:paraId="3367CB9A" w14:textId="4A301678"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5" w:name="_pqcogrxkq8v" w:colFirst="0" w:colLast="0"/>
      <w:bookmarkEnd w:id="15"/>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PACS, title, abstract, and keywords should constitute the first page (i.e.</w:t>
      </w:r>
      <w:r w:rsidR="00B12F88">
        <w:rPr>
          <w:b w:val="0"/>
          <w:sz w:val="22"/>
          <w:szCs w:val="22"/>
          <w:lang w:val="en-US"/>
        </w:rPr>
        <w:t>,</w:t>
      </w:r>
      <w:r w:rsidRPr="00562C9F">
        <w:rPr>
          <w:b w:val="0"/>
          <w:sz w:val="22"/>
          <w:szCs w:val="22"/>
          <w:lang w:val="en-US"/>
        </w:rPr>
        <w:t xml:space="preserve"> avoid extending them to the </w:t>
      </w:r>
      <w:r w:rsidR="00B12F88">
        <w:rPr>
          <w:b w:val="0"/>
          <w:sz w:val="22"/>
          <w:szCs w:val="22"/>
          <w:lang w:val="en-US"/>
        </w:rPr>
        <w:t>second</w:t>
      </w:r>
      <w:r w:rsidRPr="00562C9F">
        <w:rPr>
          <w:b w:val="0"/>
          <w:sz w:val="22"/>
          <w:szCs w:val="22"/>
          <w:lang w:val="en-US"/>
        </w:rPr>
        <w:t xml:space="preserve">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the PACS, which are a hierarchical classification system (more details within the text) and, finally, title, abstract and keywords in English (PACS are only put after </w:t>
      </w:r>
      <w:r w:rsidRPr="00CF45FC">
        <w:rPr>
          <w:b w:val="0"/>
          <w:i/>
          <w:sz w:val="22"/>
          <w:szCs w:val="22"/>
        </w:rPr>
        <w:t>resumo</w:t>
      </w:r>
      <w:r w:rsidRPr="00562C9F">
        <w:rPr>
          <w:b w:val="0"/>
          <w:sz w:val="22"/>
          <w:szCs w:val="22"/>
          <w:lang w:val="en-US"/>
        </w:rPr>
        <w:t xml:space="preserve"> in Portuguese contributions).</w:t>
      </w:r>
    </w:p>
    <w:p w14:paraId="63838E10" w14:textId="6DBAD41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headerReference w:type="even" r:id="rId9"/>
          <w:headerReference w:type="default" r:id="rId10"/>
          <w:headerReference w:type="first" r:id="rId11"/>
          <w:pgSz w:w="11906" w:h="16838"/>
          <w:pgMar w:top="340" w:right="1020" w:bottom="1020" w:left="1020"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FIA, Sobrac, acoustics, vibration</w:t>
      </w:r>
    </w:p>
    <w:p w14:paraId="48EDE1F1" w14:textId="77777777" w:rsidR="00115216" w:rsidRDefault="00D82DA7" w:rsidP="00BA5B2B">
      <w:pPr>
        <w:pStyle w:val="FIASECTION"/>
      </w:pPr>
      <w:bookmarkStart w:id="17" w:name="_4tjme7du8kvc" w:colFirst="0" w:colLast="0"/>
      <w:bookmarkEnd w:id="17"/>
      <w:r>
        <w:lastRenderedPageBreak/>
        <w:t>1.  INTRODUÇÃO</w:t>
      </w:r>
    </w:p>
    <w:p w14:paraId="6901A421" w14:textId="0DE41144" w:rsidR="00115216" w:rsidRDefault="00D82DA7" w:rsidP="00BA5B2B">
      <w:pPr>
        <w:pStyle w:val="FIATEXT"/>
      </w:pPr>
      <w:r>
        <w:t xml:space="preserve">Este texto de instruções modelo foi elaborado para que os autores possam apresentar os artigos de forma padronizada. Ele foi adaptado do modelo da Revista Acústica e Vibrações (da Sobrac), sendo de uso para o 12º Congresso Iberoamericano de Acústica integrado com </w:t>
      </w:r>
      <w:r w:rsidR="00B812EF">
        <w:t>o XXIX</w:t>
      </w:r>
      <w:r>
        <w:t xml:space="preserve"> Encontro da Sobrac.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2">
        <w:proofErr w:type="spellStart"/>
        <w:r>
          <w:rPr>
            <w:color w:val="1155CC"/>
            <w:u w:val="single"/>
          </w:rPr>
          <w:t>Overleaf</w:t>
        </w:r>
        <w:proofErr w:type="spellEnd"/>
      </w:hyperlink>
      <w:r>
        <w:t xml:space="preserve"> e no </w:t>
      </w:r>
      <w:hyperlink r:id="rId13">
        <w:r>
          <w:rPr>
            <w:color w:val="1155CC"/>
            <w:u w:val="single"/>
          </w:rPr>
          <w:t>GitHub</w:t>
        </w:r>
      </w:hyperlink>
      <w:r>
        <w:t xml:space="preserve"> </w:t>
      </w:r>
      <w:r w:rsidR="008D4AEF">
        <w:t>—</w:t>
      </w:r>
      <w:r>
        <w:t xml:space="preserve"> sendo ainda compatível com Windows, Mac e Linux. </w:t>
      </w:r>
      <w:r w:rsidR="008D4AEF" w:rsidRPr="008D4AEF">
        <w:t xml:space="preserve">Dependendo da configuração da distribuição do TeX, talvez seja necessário fazer </w:t>
      </w:r>
      <w:r w:rsidR="008D4AEF" w:rsidRPr="008D4AEF">
        <w:rPr>
          <w:i/>
          <w:iCs/>
        </w:rPr>
        <w:t>download</w:t>
      </w:r>
      <w:r w:rsidR="008D4AEF" w:rsidRPr="008D4AEF">
        <w:t xml:space="preserve"> e instalar pacotes ou fontes adicionais se você decidir compilar localmente em seu computador.</w:t>
      </w:r>
      <w:r w:rsidR="008D4AEF">
        <w:t xml:space="preserve"> </w:t>
      </w:r>
      <w:r>
        <w:t>Os autores são responsáveis pelo conteúdo, elaboração e envio dos artigos de acordo com o presente modelo.</w:t>
      </w:r>
    </w:p>
    <w:p w14:paraId="7F026E0F" w14:textId="31C9AC2F"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w:t>
      </w:r>
      <w:r w:rsidR="008D4AEF">
        <w:t>8 </w:t>
      </w:r>
      <w:proofErr w:type="spellStart"/>
      <w:r>
        <w:t>pt</w:t>
      </w:r>
      <w:proofErr w:type="spellEnd"/>
      <w:r>
        <w:t xml:space="preserve"> depois. É prática comum a escrita de artigos científicos no impessoal, logo, isso é recomendado. Além disso, serão aceitos em língua culta portuguesa, inglesa</w:t>
      </w:r>
      <w:r>
        <w:rPr>
          <w:vertAlign w:val="superscript"/>
        </w:rPr>
        <w:footnoteReference w:id="1"/>
      </w:r>
      <w:r>
        <w:t xml:space="preserve"> e espanhola.</w:t>
      </w:r>
    </w:p>
    <w:p w14:paraId="1B45411E" w14:textId="77777777" w:rsidR="00115216" w:rsidRDefault="00D82DA7" w:rsidP="004F4586">
      <w:pPr>
        <w:pStyle w:val="FIASECTION"/>
      </w:pPr>
      <w:bookmarkStart w:id="19" w:name="_k64vt1myrdij" w:colFirst="0" w:colLast="0"/>
      <w:bookmarkEnd w:id="19"/>
      <w:r>
        <w:t>2.  ORIENTAÇÕES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57214AC1" w:rsidR="00115216" w:rsidRDefault="00D82DA7" w:rsidP="00BA5B2B">
      <w:pPr>
        <w:pStyle w:val="FIAENUMERATE"/>
      </w:pPr>
      <w:r>
        <w:t xml:space="preserve">A primeira página deve conter (para língua portuguesa) título, autores, filiações, resumo, palavras-chave, </w:t>
      </w:r>
      <w:hyperlink r:id="rId14" w:history="1">
        <w:r w:rsidRPr="00381D72">
          <w:rPr>
            <w:rStyle w:val="Hyperlink"/>
          </w:rPr>
          <w:t>PACS</w:t>
        </w:r>
      </w:hyperlink>
      <w:r>
        <w:t xml:space="preser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Pr="00CF45FC">
        <w:rPr>
          <w:lang w:val="en-US"/>
        </w:rPr>
        <w:t>,</w:t>
      </w:r>
      <w:r>
        <w:t xml:space="preserve"> </w:t>
      </w:r>
      <w:r w:rsidRPr="00CF45FC">
        <w:rPr>
          <w:i/>
          <w:lang w:val="en-US"/>
        </w:rPr>
        <w:t>keywords</w:t>
      </w:r>
      <w:r w:rsidRPr="00CF45FC">
        <w:rPr>
          <w:lang w:val="en-US"/>
        </w:rPr>
        <w:t xml:space="preserve"> </w:t>
      </w:r>
      <w:r>
        <w:t>e PACS.</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7777777" w:rsidR="00115216" w:rsidRDefault="00D82DA7" w:rsidP="004F4586">
      <w:pPr>
        <w:pStyle w:val="FIASECTION"/>
      </w:pPr>
      <w:bookmarkStart w:id="20" w:name="_ouvkvtfyiwyf" w:colFirst="0" w:colLast="0"/>
      <w:bookmarkEnd w:id="20"/>
      <w:r>
        <w:t>3.  DOCUMENTO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21" w:name="_97i1d53y16su" w:colFirst="0" w:colLast="0"/>
      <w:bookmarkEnd w:id="21"/>
      <w:r>
        <w:t>3.1 Primeira</w:t>
      </w:r>
      <w:r w:rsidR="00D82DA7">
        <w:t xml:space="preserve"> página</w:t>
      </w:r>
    </w:p>
    <w:p w14:paraId="07BB4C89" w14:textId="77777777" w:rsidR="00115216" w:rsidRDefault="00D82DA7" w:rsidP="00BA5B2B">
      <w:pPr>
        <w:pStyle w:val="FIATEXT"/>
      </w:pPr>
      <w:r>
        <w:t xml:space="preserve">A primeira página deve conter os seguintes itens colocados pelos autores: título, autores, filiações, resumo, palavras-chave, </w:t>
      </w:r>
      <w:r w:rsidRPr="005C24C8">
        <w:rPr>
          <w:lang w:val="en-US"/>
        </w:rPr>
        <w:t xml:space="preserve">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72BC9AAB" w:rsidR="00115216" w:rsidRDefault="00D82DA7" w:rsidP="00BA5B2B">
      <w:pPr>
        <w:pStyle w:val="FIATEXT"/>
      </w:pPr>
      <w:r>
        <w:t xml:space="preserve">O resumo do artigo poderá ter entre 180 e 300 palavras. O resumo, palavras-chave, 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w:t>
      </w:r>
      <w:r w:rsidR="00381D72" w:rsidRPr="00381D72">
        <w:t>, sendo recomendado não se estender até a segunda página.</w:t>
      </w:r>
      <w:r>
        <w:t xml:space="preserve"> </w:t>
      </w:r>
      <w:r w:rsidR="00381D72">
        <w:t>O resumo</w:t>
      </w:r>
      <w:r>
        <w:t xml:space="preserv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63A5CD54" w:rsidR="00115216" w:rsidRDefault="00D82DA7" w:rsidP="00BA5B2B">
      <w:pPr>
        <w:pStyle w:val="FIATEXT"/>
      </w:pPr>
      <w:r>
        <w:t>Seguindo o resumo, o autor deve listar até cinco palavras</w:t>
      </w:r>
      <w:r w:rsidR="00FE4BB3">
        <w:t>-</w:t>
      </w:r>
      <w:r>
        <w:t>chave (evite colocar as mesmas palavras que formam o título do artigo).</w:t>
      </w:r>
    </w:p>
    <w:p w14:paraId="755C45D0" w14:textId="39FFD2F3" w:rsidR="00115216" w:rsidRDefault="00D82DA7" w:rsidP="00BA5B2B">
      <w:pPr>
        <w:pStyle w:val="FIATEXT"/>
      </w:pPr>
      <w:r>
        <w:t>Após essa etapa, há ainda a apresentação de 3-5 códigos PACS (</w:t>
      </w:r>
      <w:r w:rsidRPr="005C24C8">
        <w:rPr>
          <w:i/>
          <w:lang w:val="en-US"/>
        </w:rPr>
        <w:t>Physics and Astronomy Classification Scheme</w:t>
      </w:r>
      <w:r>
        <w:t xml:space="preserve">), que são um sistema de classificação hierárquica criado pelo </w:t>
      </w:r>
      <w:r w:rsidRPr="005C24C8">
        <w:rPr>
          <w:lang w:val="en-US"/>
        </w:rPr>
        <w:t xml:space="preserve">American Institute of Physics </w:t>
      </w:r>
      <w:r>
        <w:t xml:space="preserve">(AIP), que ajuda a identificar campos e subcampos em física e assuntos relacionados. Essa classificação é utilizada em artigos de revistas (ou </w:t>
      </w:r>
      <w:r w:rsidRPr="005C24C8">
        <w:rPr>
          <w:i/>
          <w:lang w:val="en-US"/>
        </w:rPr>
        <w:t>journals</w:t>
      </w:r>
      <w:r>
        <w:t xml:space="preserve">) internacionais, bem como também em algumas conferências. Os códigos são compostos por números e letras, por exemplo, </w:t>
      </w:r>
      <w:r w:rsidR="00C64D48">
        <w:t>“</w:t>
      </w:r>
      <w:r>
        <w:t>43.</w:t>
      </w:r>
      <w:proofErr w:type="gramStart"/>
      <w:r>
        <w:t>20.Dk</w:t>
      </w:r>
      <w:proofErr w:type="gramEnd"/>
      <w:r w:rsidR="00C64D48">
        <w:t>”</w:t>
      </w:r>
      <w:r>
        <w:t xml:space="preserve"> que diz respeito a </w:t>
      </w:r>
      <w:r w:rsidR="00C64D48">
        <w:t>“</w:t>
      </w:r>
      <w:r w:rsidRPr="005C24C8">
        <w:rPr>
          <w:i/>
          <w:lang w:val="en-US"/>
        </w:rPr>
        <w:t>Ray acoustics</w:t>
      </w:r>
      <w:r w:rsidR="00C64D48" w:rsidRPr="00C64D48">
        <w:rPr>
          <w:iCs/>
          <w:lang w:val="en-US"/>
        </w:rPr>
        <w:t>”</w:t>
      </w:r>
      <w:r>
        <w:t>. Os autores devem buscar as classificações mantidas pel</w:t>
      </w:r>
      <w:r w:rsidR="00381D72">
        <w:t>a</w:t>
      </w:r>
      <w:r>
        <w:t xml:space="preserve"> </w:t>
      </w:r>
      <w:r w:rsidR="00381D72">
        <w:t xml:space="preserve">AIP </w:t>
      </w:r>
      <w:r>
        <w:t>no endereço:</w:t>
      </w:r>
    </w:p>
    <w:p w14:paraId="46519017" w14:textId="1E391141" w:rsidR="00115216" w:rsidRDefault="00163729">
      <w:pPr>
        <w:numPr>
          <w:ilvl w:val="0"/>
          <w:numId w:val="5"/>
        </w:numPr>
        <w:tabs>
          <w:tab w:val="right" w:pos="8645"/>
          <w:tab w:val="center" w:pos="8362"/>
          <w:tab w:val="right" w:pos="3401"/>
          <w:tab w:val="center" w:pos="3118"/>
        </w:tabs>
        <w:spacing w:after="160"/>
      </w:pPr>
      <w:hyperlink r:id="rId15" w:history="1">
        <w:r w:rsidR="00381D72" w:rsidRPr="00A71333">
          <w:rPr>
            <w:rStyle w:val="Hyperlink"/>
          </w:rPr>
          <w:t>https://asa.scitation.org/pb-assets/files/publications/jas/Acoustics_PACS-1548697226033.pdf</w:t>
        </w:r>
      </w:hyperlink>
    </w:p>
    <w:p w14:paraId="42119EE4" w14:textId="77777777" w:rsidR="00115216" w:rsidRDefault="00D82DA7" w:rsidP="00BA5B2B">
      <w:pPr>
        <w:pStyle w:val="FIATEXT"/>
      </w:pPr>
      <w:r>
        <w:t xml:space="preserve">Os códigos PACS devem ser colocados após o </w:t>
      </w:r>
      <w:r w:rsidRPr="00381D72">
        <w:rPr>
          <w:i/>
          <w:iCs/>
        </w:rPr>
        <w:t>resumo</w:t>
      </w:r>
      <w:r>
        <w:t xml:space="preserve"> em contribuições em português, após o </w:t>
      </w:r>
      <w:r>
        <w:rPr>
          <w:i/>
        </w:rPr>
        <w:t>abstract</w:t>
      </w:r>
      <w:r>
        <w:t xml:space="preserve"> em contribuições em inglês e após o </w:t>
      </w:r>
      <w:r w:rsidRPr="005C24C8">
        <w:rPr>
          <w:i/>
          <w:lang w:val="es-ES"/>
        </w:rPr>
        <w:t>resumen</w:t>
      </w:r>
      <w:r>
        <w:t xml:space="preserve"> em contribuições em espanhol.</w:t>
      </w:r>
    </w:p>
    <w:p w14:paraId="3909772E" w14:textId="74A1F973"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 Utilize no máximo duas linhas para a filiação de cada autor de instituições diferentes. Veja a seguir </w:t>
      </w:r>
      <w:r w:rsidR="009D17EF">
        <w:t>alguns exemplos</w:t>
      </w:r>
      <w:r>
        <w:t>:</w:t>
      </w:r>
    </w:p>
    <w:p w14:paraId="3B2DFE32" w14:textId="2AE648F2"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3FCF4CE8"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Pr="00C662AC">
        <w:rPr>
          <w:sz w:val="20"/>
          <w:szCs w:val="20"/>
        </w:rPr>
        <w:t>;</w:t>
      </w:r>
      <w:r w:rsidR="006F5419">
        <w:rPr>
          <w:sz w:val="20"/>
          <w:szCs w:val="20"/>
        </w:rPr>
        <w:t> </w:t>
      </w:r>
      <w:r w:rsidRPr="00C662AC">
        <w:rPr>
          <w:sz w:val="20"/>
          <w:szCs w:val="20"/>
        </w:rPr>
        <w:t>Mareze, P.</w:t>
      </w:r>
      <w:r w:rsidR="006F5419">
        <w:rPr>
          <w:sz w:val="20"/>
          <w:szCs w:val="20"/>
        </w:rPr>
        <w:t>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w:t>
      </w:r>
      <w:r w:rsidR="00C575B7">
        <w:rPr>
          <w:sz w:val="20"/>
          <w:szCs w:val="20"/>
          <w:vertAlign w:val="superscript"/>
        </w:rPr>
        <w:t>–</w:t>
      </w:r>
      <w:r w:rsidRPr="00C662AC">
        <w:rPr>
          <w:sz w:val="20"/>
          <w:szCs w:val="20"/>
          <w:vertAlign w:val="superscript"/>
        </w:rPr>
        <w:t>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30589C9F" w:rsidR="005C24C8"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6F5419">
        <w:rPr>
          <w:iCs/>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3,</w:t>
      </w:r>
      <w:r w:rsidR="00C575B7">
        <w:rPr>
          <w:sz w:val="20"/>
          <w:szCs w:val="20"/>
          <w:vertAlign w:val="superscript"/>
        </w:rPr>
        <w:t> </w:t>
      </w:r>
      <w:r w:rsidRPr="00C662AC">
        <w:rPr>
          <w:sz w:val="20"/>
          <w:szCs w:val="20"/>
          <w:vertAlign w:val="superscript"/>
        </w:rPr>
        <w:t>2}</w:t>
      </w:r>
      <w:r w:rsidR="006F5419">
        <w:rPr>
          <w:sz w:val="20"/>
          <w:szCs w:val="20"/>
        </w:rPr>
        <w:t> </w:t>
      </w:r>
      <w:r w:rsidRPr="00C662AC">
        <w:rPr>
          <w:sz w:val="20"/>
          <w:szCs w:val="20"/>
        </w:rPr>
        <w:t>Engenharia Acústica, Universidade Federal de Santa Maria, Santa Maria, RS, Brasil,</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w:t>
      </w:r>
      <w:r w:rsidR="006F5419">
        <w:rPr>
          <w:sz w:val="20"/>
          <w:szCs w:val="20"/>
        </w:rPr>
        <w:t> </w:t>
      </w:r>
      <w:proofErr w:type="spellStart"/>
      <w:r w:rsidRPr="00C662AC">
        <w:rPr>
          <w:sz w:val="20"/>
          <w:szCs w:val="20"/>
        </w:rPr>
        <w:t>paulo.mareze</w:t>
      </w:r>
      <w:proofErr w:type="spellEnd"/>
      <w:r w:rsidRPr="00C662AC">
        <w:rPr>
          <w:sz w:val="20"/>
          <w:szCs w:val="20"/>
        </w:rPr>
        <w:t>}@eac.ufsm.br, nome@dominio.br.</w:t>
      </w:r>
    </w:p>
    <w:p w14:paraId="00BBB001" w14:textId="30086704" w:rsidR="00115216" w:rsidRPr="00C662AC" w:rsidRDefault="00D82DA7">
      <w:pPr>
        <w:numPr>
          <w:ilvl w:val="0"/>
          <w:numId w:val="7"/>
        </w:numPr>
        <w:tabs>
          <w:tab w:val="right" w:pos="8645"/>
          <w:tab w:val="center" w:pos="8362"/>
          <w:tab w:val="right" w:pos="3401"/>
          <w:tab w:val="center" w:pos="3118"/>
        </w:tabs>
        <w:rPr>
          <w:sz w:val="20"/>
          <w:szCs w:val="20"/>
        </w:rPr>
      </w:pPr>
      <w:r w:rsidRPr="00C662AC">
        <w:rPr>
          <w:sz w:val="20"/>
          <w:szCs w:val="20"/>
        </w:rPr>
        <w:t>Fonseca,</w:t>
      </w:r>
      <w:r w:rsidR="006F5419">
        <w:rPr>
          <w:sz w:val="20"/>
          <w:szCs w:val="20"/>
        </w:rPr>
        <w:t> </w:t>
      </w:r>
      <w:r w:rsidRPr="00C662AC">
        <w:rPr>
          <w:sz w:val="20"/>
          <w:szCs w:val="20"/>
        </w:rPr>
        <w:t>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006F5419">
        <w:rPr>
          <w:sz w:val="20"/>
          <w:szCs w:val="20"/>
        </w:rPr>
        <w:t>; </w:t>
      </w:r>
      <w:r w:rsidRPr="00C662AC">
        <w:rPr>
          <w:sz w:val="20"/>
          <w:szCs w:val="20"/>
        </w:rPr>
        <w:t>Sobrenome,</w:t>
      </w:r>
      <w:r w:rsidR="006F5419">
        <w:rPr>
          <w:sz w:val="20"/>
          <w:szCs w:val="20"/>
        </w:rPr>
        <w:t> </w:t>
      </w:r>
      <w:r w:rsidRPr="00C662AC">
        <w:rPr>
          <w:sz w:val="20"/>
          <w:szCs w:val="20"/>
        </w:rPr>
        <w:t>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Instituição, Cidade, Estado, País, nome@dominio.br.</w:t>
      </w:r>
    </w:p>
    <w:p w14:paraId="3B5BCE8F" w14:textId="14B6C292" w:rsidR="00115216" w:rsidRDefault="00B812EF" w:rsidP="00BA5B2B">
      <w:pPr>
        <w:pStyle w:val="FIASECTION"/>
      </w:pPr>
      <w:bookmarkStart w:id="22" w:name="_s7wrre9t814w" w:colFirst="0" w:colLast="0"/>
      <w:bookmarkEnd w:id="22"/>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4018FC84" w:rsidR="00115216" w:rsidRDefault="00D82DA7" w:rsidP="00BA5B2B">
      <w:pPr>
        <w:pStyle w:val="FIATEXT"/>
      </w:pPr>
      <w:r>
        <w:t>Como forma de otimizar ao máximo o conteúdo de cada página, as figuras, tabelas, quadros e códigos devem ser apresentados ao longo do corpo do texto (em uma ou duas colunas</w:t>
      </w:r>
      <w:r w:rsidR="00F363E9">
        <w:t>,</w:t>
      </w:r>
      <w:r>
        <w:t xml:space="preserve"> dependendo de seu conteúdo).</w:t>
      </w:r>
    </w:p>
    <w:p w14:paraId="765CADC9" w14:textId="266618E2" w:rsidR="00115216" w:rsidRDefault="009E12EA" w:rsidP="00BA5B2B">
      <w:pPr>
        <w:pStyle w:val="FIASECTION"/>
      </w:pPr>
      <w:bookmarkStart w:id="23" w:name="_k5o7ugvhc2xz" w:colFirst="0" w:colLast="0"/>
      <w:bookmarkEnd w:id="23"/>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4" w:name="_a86eehe84cy5" w:colFirst="0" w:colLast="0"/>
      <w:bookmarkEnd w:id="24"/>
      <w:r>
        <w:t>3.3 Tamanho</w:t>
      </w:r>
      <w:r w:rsidR="00D82DA7">
        <w:t xml:space="preserve"> da folha e margens</w:t>
      </w:r>
    </w:p>
    <w:p w14:paraId="7CBA4F4C" w14:textId="43B5681B" w:rsidR="00115216" w:rsidRDefault="00D82DA7" w:rsidP="00BA5B2B">
      <w:pPr>
        <w:pStyle w:val="FIATEXT"/>
      </w:pPr>
      <w:r>
        <w:rPr>
          <w:rFonts w:eastAsia="Cardo"/>
        </w:rPr>
        <w:t>O texto deve ser configurado em folha do tamanho A4 (210</w:t>
      </w:r>
      <w:r w:rsidR="00381D72">
        <w:rPr>
          <w:rFonts w:eastAsia="Cardo"/>
        </w:rPr>
        <w:t> mm</w:t>
      </w:r>
      <w:r>
        <w:rPr>
          <w:rFonts w:eastAsia="Cardo"/>
        </w:rPr>
        <w:t xml:space="preserve"> </w:t>
      </w:r>
      <w:r>
        <w:rPr>
          <w:rFonts w:ascii="Cambria Math" w:eastAsia="Cardo" w:hAnsi="Cambria Math" w:cs="Cambria Math"/>
        </w:rPr>
        <w:t>⨉</w:t>
      </w:r>
      <w:r>
        <w:rPr>
          <w:rFonts w:eastAsia="Cardo"/>
        </w:rPr>
        <w:t xml:space="preserve"> 297 mm), em duas colunas (espaçamento 1,0 cm),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5" w:name="_rhuw4p3c5hd1" w:colFirst="0" w:colLast="0"/>
      <w:bookmarkEnd w:id="25"/>
      <w:r>
        <w:t>3.4 Caracteres</w:t>
      </w:r>
      <w:r w:rsidR="00D82DA7">
        <w:t xml:space="preserve"> e texto</w:t>
      </w:r>
    </w:p>
    <w:p w14:paraId="7B60D1CF" w14:textId="77777777"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em maiúsculo, conforme apresentado neste modelo. As subseções devem ser em negrito, corpo 12 </w:t>
      </w:r>
      <w:proofErr w:type="spellStart"/>
      <w:r>
        <w:t>pt</w:t>
      </w:r>
      <w:proofErr w:type="spellEnd"/>
      <w:r>
        <w:t>, com apenas a primeira letra em maiúsculo (a não ser que existam nomes próprios). Para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040B8FE6" w:rsidR="00115216" w:rsidRDefault="00D82DA7" w:rsidP="00BA5B2B">
      <w:pPr>
        <w:pStyle w:val="FIATEXT"/>
      </w:pPr>
      <w:r>
        <w:t>Utilize linguagem culta e científica em seu texto</w:t>
      </w:r>
      <w:r>
        <w:rPr>
          <w:vertAlign w:val="superscript"/>
        </w:rPr>
        <w:footnoteReference w:id="2"/>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w:t>
      </w:r>
      <w:r w:rsidR="00381D72">
        <w:t>o</w:t>
      </w:r>
      <w:r>
        <w:t>s ao leitor, por exemplo, HRTF (</w:t>
      </w:r>
      <w:r w:rsidRPr="00C662AC">
        <w:rPr>
          <w:i/>
          <w:lang w:val="en-US"/>
        </w:rPr>
        <w:t>Head-Related Transfer Function</w:t>
      </w:r>
      <w:r>
        <w:t xml:space="preserve">) </w:t>
      </w:r>
      <w:r w:rsidR="007A72C8">
        <w:t xml:space="preserve">— </w:t>
      </w:r>
      <w:r>
        <w:t xml:space="preserve">são sempre grafados </w:t>
      </w:r>
      <w:r w:rsidR="00381D72">
        <w:t>“</w:t>
      </w:r>
      <w:r>
        <w:t>em pé</w:t>
      </w:r>
      <w:r w:rsidR="00381D72">
        <w:t>”</w:t>
      </w:r>
      <w:r>
        <w:t>, inclusive em equações. Faça revisões gramaticais e de cunho técnico antes da submissão.</w:t>
      </w:r>
    </w:p>
    <w:p w14:paraId="4A5D1446" w14:textId="1A2FD21D" w:rsidR="00115216" w:rsidRDefault="009E12EA" w:rsidP="00BA5B2B">
      <w:pPr>
        <w:pStyle w:val="FIASECTION"/>
      </w:pPr>
      <w:bookmarkStart w:id="28" w:name="_9u6by1os2zrz" w:colFirst="0" w:colLast="0"/>
      <w:bookmarkEnd w:id="28"/>
      <w:r>
        <w:t>3.5 Espaçamento</w:t>
      </w:r>
      <w:r w:rsidR="00D82DA7">
        <w:t xml:space="preserve"> entre linhas e parágrafos</w:t>
      </w:r>
    </w:p>
    <w:p w14:paraId="6FDF8C81" w14:textId="3718FF04" w:rsidR="00115216" w:rsidRDefault="00D82DA7" w:rsidP="00BA5B2B">
      <w:pPr>
        <w:pStyle w:val="FIATEXT"/>
      </w:pPr>
      <w:r>
        <w:t>Deve-se empregar espaçamento simples entre linhas, como já adotado neste arquivo de instruções. Na formatação dos parágrafos escolher a opção parágrafo justificado (com espaçamento de</w:t>
      </w:r>
      <w:r w:rsidR="00381D72">
        <w:t xml:space="preserve"> 8 </w:t>
      </w:r>
      <w:proofErr w:type="spellStart"/>
      <w:r>
        <w:t>pt</w:t>
      </w:r>
      <w:proofErr w:type="spellEnd"/>
      <w:r>
        <w:t>).</w:t>
      </w:r>
    </w:p>
    <w:p w14:paraId="6E1E3137" w14:textId="05C469EF" w:rsidR="00115216" w:rsidRDefault="009E12EA" w:rsidP="00BA5B2B">
      <w:pPr>
        <w:pStyle w:val="FIASECTION"/>
      </w:pPr>
      <w:bookmarkStart w:id="29" w:name="_mv2dkjcbedpu" w:colFirst="0" w:colLast="0"/>
      <w:bookmarkEnd w:id="29"/>
      <w:r>
        <w:t>3.6 Equações</w:t>
      </w:r>
      <w:r w:rsidR="00D82DA7">
        <w:t xml:space="preserve"> e unidades</w:t>
      </w:r>
    </w:p>
    <w:p w14:paraId="36540D6B" w14:textId="6523F619"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3"/>
      </w:r>
      <w:r>
        <w:t xml:space="preserve">, mantenha sempre o número junto à correspondente unidade, sem que exista quebra de linha entre eles (no Ms Word utilize </w:t>
      </w:r>
      <w:proofErr w:type="spellStart"/>
      <w:r>
        <w:t>Ctrl</w:t>
      </w:r>
      <w:proofErr w:type="spellEnd"/>
      <w:r>
        <w:t xml:space="preserve"> + Shift + Espaço </w:t>
      </w:r>
      <w:r w:rsidR="00381D72">
        <w:t>[</w:t>
      </w:r>
      <w:r>
        <w:t>ou Alt + 0160</w:t>
      </w:r>
      <w:r w:rsidR="00381D72">
        <w:t>]</w:t>
      </w:r>
      <w:r>
        <w:t>, no LaTeX coloque um til (~) entre o número e a unidade). Por exemplo, 3 m de distância separa a entrada e a saída; 4.512,28 cm é a distância medida.</w:t>
      </w:r>
    </w:p>
    <w:p w14:paraId="53F6B59C" w14:textId="77777777" w:rsidR="0044016E" w:rsidRDefault="0055049F" w:rsidP="00BA5B2B">
      <w:pPr>
        <w:pStyle w:val="FIATEXT"/>
      </w:pPr>
      <w:r>
        <w:t xml:space="preserve">As equações deverão estar encaixadas entre o texto (no Word use uma “tabela” simples) </w:t>
      </w:r>
      <w:r w:rsidR="0044016E" w:rsidRPr="0044016E">
        <w:rPr>
          <w:b/>
          <w:noProof/>
        </w:rPr>
        <mc:AlternateContent>
          <mc:Choice Requires="wps">
            <w:drawing>
              <wp:anchor distT="45720" distB="45720" distL="114300" distR="114300" simplePos="0" relativeHeight="251660288" behindDoc="0" locked="0" layoutInCell="1" allowOverlap="1" wp14:anchorId="3EEBD87B" wp14:editId="1FAFA435">
                <wp:simplePos x="0" y="0"/>
                <wp:positionH relativeFrom="column">
                  <wp:posOffset>-1905</wp:posOffset>
                </wp:positionH>
                <wp:positionV relativeFrom="paragraph">
                  <wp:posOffset>0</wp:posOffset>
                </wp:positionV>
                <wp:extent cx="6263640" cy="3070860"/>
                <wp:effectExtent l="0" t="0" r="381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307086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15pt;margin-top:0;width:493.2pt;height:24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pDgIAAPc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v:textbox>
                <w10:wrap type="square"/>
              </v:shape>
            </w:pict>
          </mc:Fallback>
        </mc:AlternateContent>
      </w:r>
      <w:r>
        <w:t>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09A58519" w:rsidR="00115216" w:rsidRDefault="00D40EFB" w:rsidP="00D40EFB">
      <w:pPr>
        <w:tabs>
          <w:tab w:val="right" w:pos="8645"/>
          <w:tab w:val="center" w:pos="8362"/>
          <w:tab w:val="right" w:pos="4529"/>
          <w:tab w:val="center" w:pos="2264"/>
        </w:tabs>
        <w:ind w:left="1440"/>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t>(1)</w:t>
      </w:r>
    </w:p>
    <w:p w14:paraId="6A2B04AB" w14:textId="77777777" w:rsidR="00381D72" w:rsidRDefault="00D82DA7" w:rsidP="004F4586">
      <w:pPr>
        <w:pStyle w:val="FIATEXT"/>
      </w:pPr>
      <w:r>
        <w:t xml:space="preserve">em que </w:t>
      </w:r>
      <w:r>
        <w:rPr>
          <w:i/>
        </w:rPr>
        <w:t xml:space="preserve">r </w:t>
      </w:r>
      <w:r>
        <w:t xml:space="preserve">é o raio em metros (m). Lembre-se que variáveis (como o </w:t>
      </w:r>
      <w:r>
        <w:rPr>
          <w:i/>
        </w:rPr>
        <w:t xml:space="preserve">r </w:t>
      </w:r>
      <w:r>
        <w:t xml:space="preserve">nesse exemplo) são grafadas em </w:t>
      </w:r>
      <w:r>
        <w:rPr>
          <w:i/>
        </w:rPr>
        <w:t>itálico</w:t>
      </w:r>
      <w:r>
        <w:t xml:space="preserve"> (seja na equação ou no texto). </w:t>
      </w:r>
    </w:p>
    <w:p w14:paraId="19C20493" w14:textId="30BFD5B1" w:rsidR="00115216" w:rsidRDefault="00381D72" w:rsidP="004F4586">
      <w:pPr>
        <w:pStyle w:val="FIATEXT"/>
      </w:pPr>
      <w:r>
        <w:t>No entanto</w:t>
      </w:r>
      <w:r w:rsidR="00D82DA7">
        <w:t xml:space="preserve">, </w:t>
      </w:r>
      <w:r w:rsidR="00D82DA7">
        <w:rPr>
          <w:b/>
        </w:rPr>
        <w:t>unidades, funções e operadores matemáticos são escritos “em pé”</w:t>
      </w:r>
      <w:r w:rsidR="00D82DA7">
        <w:t>, sem a aplicação do itálico. Por exemplo, 32,0 N/m</w:t>
      </w:r>
      <w:r w:rsidR="00D82DA7">
        <w:rPr>
          <w:vertAlign w:val="superscript"/>
        </w:rPr>
        <w:t>2</w:t>
      </w:r>
      <w:r w:rsidR="00D82DA7">
        <w:t xml:space="preserve"> foi a pressão aplicada, ou ainda</w:t>
      </w:r>
    </w:p>
    <w:p w14:paraId="43362E0E" w14:textId="0D1C63A5" w:rsidR="00115216" w:rsidRDefault="00163729" w:rsidP="00D40EFB">
      <w:pPr>
        <w:tabs>
          <w:tab w:val="right" w:pos="8645"/>
          <w:tab w:val="center" w:pos="8362"/>
          <w:tab w:val="right" w:pos="4529"/>
          <w:tab w:val="center" w:pos="2264"/>
        </w:tabs>
        <w:ind w:left="144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t>(2)</w:t>
      </w:r>
    </w:p>
    <w:p w14:paraId="1091A0D6" w14:textId="5DA849EF"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rsidR="00C64D48">
        <w:t xml:space="preserve"> </w:t>
      </w:r>
      <w:r>
        <w:t>(</w:t>
      </w:r>
      <w:r>
        <w:rPr>
          <w:rFonts w:ascii="Cambria Math" w:hAnsi="Cambria Math" w:cs="Cambria Math"/>
        </w:rPr>
        <w:t>𝛳</w:t>
      </w:r>
      <w:r>
        <w:t>), ou ainda log(</w:t>
      </w:r>
      <w:r>
        <w:rPr>
          <w:i/>
        </w:rPr>
        <w:t>y</w:t>
      </w:r>
      <w:r>
        <w:t>), por exemplo.</w:t>
      </w:r>
    </w:p>
    <w:p w14:paraId="3DD3EBBD" w14:textId="2DEFC19C"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proofErr w:type="gramStart"/>
      <w:r w:rsidRPr="0044016E">
        <w:rPr>
          <w:i/>
          <w:iCs/>
        </w:rPr>
        <w:t>P</w:t>
      </w:r>
      <w:r>
        <w:rPr>
          <w:i/>
          <w:vertAlign w:val="subscript"/>
        </w:rPr>
        <w:t xml:space="preserve">i  </w:t>
      </w:r>
      <w:r>
        <w:t>até</w:t>
      </w:r>
      <w:proofErr w:type="gramEnd"/>
      <w:r>
        <w:t xml:space="preserve">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0DF7CFEA" w:rsidR="00115216" w:rsidRDefault="00D40EFB">
      <w:pPr>
        <w:tabs>
          <w:tab w:val="right" w:pos="4529"/>
          <w:tab w:val="right" w:pos="8645"/>
          <w:tab w:val="center" w:pos="8362"/>
          <w:tab w:val="center" w:pos="2264"/>
        </w:tabs>
        <w:ind w:right="39"/>
        <w:jc w:val="center"/>
      </w:pPr>
      <w:r>
        <w:t xml:space="preserve">                     </w:t>
      </w: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D82DA7">
        <w:tab/>
        <w:t>(3)</w:t>
      </w:r>
    </w:p>
    <w:p w14:paraId="427BB756" w14:textId="77777777"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69002EFE" w:rsidR="00115216" w:rsidRDefault="00D82DA7" w:rsidP="004F4586">
      <w:pPr>
        <w:pStyle w:val="FIATEXT"/>
      </w:pPr>
      <w:r>
        <w:t xml:space="preserve">No texto, quando for necessário citar uma equação já apresentada, deve-se fazê-lo da seguinte forma: Equação (3) </w:t>
      </w:r>
      <w:r w:rsidR="00C64D48">
        <w:t xml:space="preserve">— </w:t>
      </w:r>
      <w:r>
        <w:t>com apenas a primeira letra em maiúsculo e com o número correspondente entre parênteses.</w:t>
      </w:r>
    </w:p>
    <w:p w14:paraId="55AD06B5" w14:textId="7D5DB082" w:rsidR="00115216" w:rsidRDefault="004B3B0E" w:rsidP="0055049F">
      <w:pPr>
        <w:pStyle w:val="FIASECTION"/>
      </w:pPr>
      <w:bookmarkStart w:id="32" w:name="_j3hhegsvp748" w:colFirst="0" w:colLast="0"/>
      <w:bookmarkEnd w:id="32"/>
      <w:r>
        <w:t>3.7 Figuras</w:t>
      </w:r>
      <w:r w:rsidR="00D82DA7">
        <w:t>, tabelas, quadros e códigos</w:t>
      </w:r>
    </w:p>
    <w:p w14:paraId="69E73826" w14:textId="2459F697"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sidR="00381D72" w:rsidRPr="00381D72">
        <w:rPr>
          <w:b/>
          <w:bCs/>
        </w:rPr>
        <w:t xml:space="preserve">uma </w:t>
      </w:r>
      <w:r w:rsidR="00381D72">
        <w:t>(</w:t>
      </w:r>
      <w:r>
        <w:rPr>
          <w:b/>
        </w:rPr>
        <w:t>1</w:t>
      </w:r>
      <w:r w:rsidR="00381D72">
        <w:rPr>
          <w:b/>
        </w:rPr>
        <w:t>)</w:t>
      </w:r>
      <w:r>
        <w:rPr>
          <w:b/>
        </w:rPr>
        <w:t> linha</w:t>
      </w:r>
      <w:r>
        <w:t xml:space="preserve"> em branco antes e depois (12 </w:t>
      </w:r>
      <w:proofErr w:type="spellStart"/>
      <w:r>
        <w:t>pt</w:t>
      </w:r>
      <w:proofErr w:type="spellEnd"/>
      <w:r>
        <w:t>).</w:t>
      </w:r>
    </w:p>
    <w:p w14:paraId="6662074F" w14:textId="77777777" w:rsidR="00115216" w:rsidRDefault="00D82DA7" w:rsidP="004F4586">
      <w:pPr>
        <w:pStyle w:val="FIATEXT"/>
      </w:pPr>
      <w:r>
        <w:t xml:space="preserve">As figuras, tabelas e quadros deverão ser centralizados e numerados sequencialmente (vide exemplo nas Figuras 1, 2 e 3;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BF808ED" w:rsidR="00115216" w:rsidRDefault="00D82DA7" w:rsidP="004F4586">
      <w:pPr>
        <w:pStyle w:val="FIATEXT"/>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 Ademais, recomenda-se fortemente o sistema de referências cruzadas automatizado. 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45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6"/>
        <w:gridCol w:w="2286"/>
      </w:tblGrid>
      <w:tr w:rsidR="00115216" w14:paraId="389BA68A" w14:textId="77777777">
        <w:trPr>
          <w:trHeight w:val="1170"/>
        </w:trPr>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34839" w14:textId="129DF875" w:rsidR="00115216" w:rsidRDefault="00D82DA7">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7B7D3C44">
                  <wp:extent cx="1071702" cy="82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4FA69CE1" w14:textId="78EA821D" w:rsidR="00115216" w:rsidRDefault="0099619F" w:rsidP="0099619F">
            <w:pPr>
              <w:pStyle w:val="FIACAPTION"/>
              <w:rPr>
                <w:b/>
              </w:rPr>
            </w:pPr>
            <w:r>
              <w:rPr>
                <w:b/>
              </w:rPr>
              <w:br/>
            </w:r>
            <w:r w:rsidR="00D82DA7">
              <w:rPr>
                <w:b/>
              </w:rPr>
              <w:t xml:space="preserve">(a) </w:t>
            </w:r>
            <w:r w:rsidR="00D82DA7">
              <w:t>Figura A.</w:t>
            </w:r>
            <w:r w:rsidR="00D82DA7">
              <w:rPr>
                <w:b/>
              </w:rPr>
              <w:t xml:space="preserve"> </w:t>
            </w:r>
          </w:p>
        </w:tc>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D4C57" w14:textId="77777777" w:rsidR="00115216" w:rsidRDefault="00D82DA7">
            <w:pPr>
              <w:widowControl w:val="0"/>
              <w:pBdr>
                <w:top w:val="nil"/>
                <w:left w:val="nil"/>
                <w:bottom w:val="nil"/>
                <w:right w:val="nil"/>
                <w:between w:val="nil"/>
              </w:pBdr>
              <w:spacing w:after="0"/>
              <w:jc w:val="center"/>
            </w:pPr>
            <w:r>
              <w:rPr>
                <w:noProof/>
              </w:rPr>
              <w:drawing>
                <wp:inline distT="114300" distB="114300" distL="114300" distR="114300" wp14:anchorId="0E7E00F4" wp14:editId="12F75B0C">
                  <wp:extent cx="1071702" cy="82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55C66EF6" w14:textId="411B0BAF" w:rsidR="00115216" w:rsidRDefault="0099619F" w:rsidP="0099619F">
            <w:pPr>
              <w:pStyle w:val="FIACAPTION"/>
            </w:pPr>
            <w:r>
              <w:rPr>
                <w:b/>
              </w:rPr>
              <w:br/>
            </w:r>
            <w:r w:rsidR="00D82DA7">
              <w:rPr>
                <w:b/>
              </w:rPr>
              <w:t xml:space="preserve">(b) </w:t>
            </w:r>
            <w:r w:rsidR="00D82DA7">
              <w:t>Figura B.</w:t>
            </w:r>
            <w:r w:rsidR="00D82DA7">
              <w:rPr>
                <w:b/>
              </w:rPr>
              <w:t xml:space="preserve"> </w:t>
            </w:r>
          </w:p>
        </w:tc>
      </w:tr>
    </w:tbl>
    <w:p w14:paraId="4650C770" w14:textId="77777777" w:rsidR="00115216" w:rsidRDefault="00D82DA7" w:rsidP="007A72C8">
      <w:pPr>
        <w:pStyle w:val="FIACAPTION"/>
      </w:pPr>
      <w:r>
        <w:rPr>
          <w:b/>
        </w:rPr>
        <w:t xml:space="preserve">Figura 2: </w:t>
      </w:r>
      <w:r>
        <w:t>Exemplo de figuras lado a lado.</w:t>
      </w:r>
      <w:r>
        <w:br/>
      </w:r>
    </w:p>
    <w:p w14:paraId="23FFDC38" w14:textId="77777777" w:rsidR="00115216" w:rsidRDefault="00D82DA7">
      <w:pPr>
        <w:tabs>
          <w:tab w:val="right" w:pos="8645"/>
          <w:tab w:val="center" w:pos="8362"/>
          <w:tab w:val="right" w:pos="3401"/>
          <w:tab w:val="center" w:pos="3118"/>
        </w:tabs>
        <w:spacing w:before="160"/>
        <w:jc w:val="center"/>
        <w:rPr>
          <w:sz w:val="22"/>
          <w:szCs w:val="22"/>
        </w:rPr>
      </w:pPr>
      <w:r>
        <w:rPr>
          <w:noProof/>
          <w:sz w:val="22"/>
          <w:szCs w:val="22"/>
        </w:rPr>
        <w:drawing>
          <wp:inline distT="114300" distB="114300" distL="114300" distR="114300" wp14:anchorId="366C9CFF" wp14:editId="7FCFC0F8">
            <wp:extent cx="2905125" cy="2273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05125" cy="2273300"/>
                    </a:xfrm>
                    <a:prstGeom prst="rect">
                      <a:avLst/>
                    </a:prstGeom>
                    <a:ln/>
                  </pic:spPr>
                </pic:pic>
              </a:graphicData>
            </a:graphic>
          </wp:inline>
        </w:drawing>
      </w:r>
    </w:p>
    <w:p w14:paraId="29B02397" w14:textId="77777777" w:rsidR="00115216" w:rsidRDefault="00D82DA7" w:rsidP="0099619F">
      <w:pPr>
        <w:pStyle w:val="FIACAPTION"/>
      </w:pPr>
      <w:r>
        <w:rPr>
          <w:b/>
        </w:rPr>
        <w:t xml:space="preserve">Figura 3: </w:t>
      </w:r>
      <w:r>
        <w:rPr>
          <w:i/>
        </w:rPr>
        <w:t>C</w:t>
      </w:r>
      <w:r>
        <w:rPr>
          <w:vertAlign w:val="subscript"/>
        </w:rPr>
        <w:t xml:space="preserve">80 </w:t>
      </w:r>
      <w:r>
        <w:t>para salas distintas. As figuras podem ser colocadas lado a lado (retirado de Brandão [3]).</w:t>
      </w:r>
      <w:r>
        <w:br/>
      </w:r>
    </w:p>
    <w:p w14:paraId="65522A20" w14:textId="77777777" w:rsidR="00115216" w:rsidRDefault="00D82DA7" w:rsidP="0099619F">
      <w:pPr>
        <w:pStyle w:val="FIACAPTION"/>
      </w:pPr>
      <w:r>
        <w:rPr>
          <w:b/>
        </w:rPr>
        <w:t xml:space="preserve">Quadro 1: </w:t>
      </w:r>
      <w:r>
        <w:t>Este é um exemplo de quadro.</w:t>
      </w:r>
    </w:p>
    <w:tbl>
      <w:tblPr>
        <w:tblStyle w:val="a0"/>
        <w:tblW w:w="45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4"/>
      </w:tblGrid>
      <w:tr w:rsidR="00115216" w14:paraId="0C3886C1" w14:textId="77777777">
        <w:trPr>
          <w:jc w:val="center"/>
        </w:trPr>
        <w:tc>
          <w:tcPr>
            <w:tcW w:w="1524"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trPr>
          <w:jc w:val="center"/>
        </w:trPr>
        <w:tc>
          <w:tcPr>
            <w:tcW w:w="1524"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trPr>
          <w:jc w:val="center"/>
        </w:trPr>
        <w:tc>
          <w:tcPr>
            <w:tcW w:w="1524"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699C2BDB" w14:textId="515156AD" w:rsidR="004F4586" w:rsidRDefault="004F4586">
      <w:pPr>
        <w:tabs>
          <w:tab w:val="right" w:pos="8645"/>
          <w:tab w:val="center" w:pos="8362"/>
          <w:tab w:val="right" w:pos="3401"/>
          <w:tab w:val="center" w:pos="3118"/>
        </w:tabs>
        <w:spacing w:before="160"/>
        <w:jc w:val="center"/>
        <w:rPr>
          <w:sz w:val="22"/>
          <w:szCs w:val="22"/>
        </w:rPr>
        <w:sectPr w:rsidR="004F4586">
          <w:type w:val="continuous"/>
          <w:pgSz w:w="11906" w:h="16838"/>
          <w:pgMar w:top="453" w:right="1020" w:bottom="1133" w:left="1020" w:header="340" w:footer="720" w:gutter="0"/>
          <w:cols w:num="2" w:space="720" w:equalWidth="0">
            <w:col w:w="4572" w:space="720"/>
            <w:col w:w="4572" w:space="0"/>
          </w:cols>
        </w:sectPr>
      </w:pPr>
    </w:p>
    <w:p w14:paraId="274B5F61" w14:textId="2E10802B" w:rsidR="00115216" w:rsidRDefault="00D82DA7" w:rsidP="0099619F">
      <w:pPr>
        <w:pStyle w:val="FIACAPTION"/>
      </w:pPr>
      <w:r>
        <w:rPr>
          <w:b/>
        </w:rPr>
        <w:t xml:space="preserve">Tabela 1: </w:t>
      </w:r>
      <w:r>
        <w:t xml:space="preserve">Propriedades microgeométricas e macroscópicas das camadas porosas CPA 1 e CAUQ-B </w:t>
      </w:r>
      <w:r w:rsidR="00B66DA8">
        <w:br/>
      </w:r>
      <w:r w:rsidR="00B66DA8">
        <w:t xml:space="preserve">(retirado de Mareze </w:t>
      </w:r>
      <w:r w:rsidR="00B66DA8" w:rsidRPr="003A4912">
        <w:rPr>
          <w:i/>
          <w:iCs/>
        </w:rPr>
        <w:t>et al</w:t>
      </w:r>
      <w:r w:rsidR="00B66DA8">
        <w:rPr>
          <w:i/>
          <w:iCs/>
        </w:rPr>
        <w:t>.</w:t>
      </w:r>
      <w:r w:rsidR="00B66DA8">
        <w:t xml:space="preserve"> [</w:t>
      </w:r>
      <w:r w:rsidR="00B66DA8">
        <w:rPr>
          <w:color w:val="0000FF"/>
        </w:rPr>
        <w:t>2</w:t>
      </w:r>
      <w:r w:rsidR="00B66DA8">
        <w:t>])</w:t>
      </w:r>
      <w:r>
        <w:t>. Exemplo de tabela em duas colunas.</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4D40BF12" w:rsidR="00115216" w:rsidRDefault="00D82DA7">
            <w:pPr>
              <w:widowControl w:val="0"/>
              <w:pBdr>
                <w:top w:val="nil"/>
                <w:left w:val="nil"/>
                <w:bottom w:val="nil"/>
                <w:right w:val="nil"/>
                <w:between w:val="nil"/>
              </w:pBdr>
              <w:spacing w:after="0"/>
              <w:jc w:val="center"/>
              <w:rPr>
                <w:sz w:val="22"/>
                <w:szCs w:val="22"/>
              </w:rPr>
            </w:pPr>
            <w:r>
              <w:rPr>
                <w:sz w:val="22"/>
                <w:szCs w:val="22"/>
              </w:rPr>
              <w:t xml:space="preserve">CPA 1 </w:t>
            </w:r>
            <w:r w:rsidR="004277B4" w:rsidRPr="004277B4">
              <w:rPr>
                <w:rFonts w:ascii="Cambria Math" w:hAnsi="Cambria Math" w:cs="Cambria Math"/>
                <w:sz w:val="22"/>
                <w:szCs w:val="22"/>
              </w:rPr>
              <w:t>⇒</w:t>
            </w:r>
            <w:r>
              <w:rPr>
                <w:sz w:val="22"/>
                <w:szCs w:val="22"/>
              </w:rPr>
              <w:t xml:space="preserve"> 3</w:t>
            </w:r>
            <w:r w:rsidR="00C93241">
              <w:rPr>
                <w:sz w:val="22"/>
                <w:szCs w:val="22"/>
              </w:rPr>
              <w:t>,0</w:t>
            </w:r>
            <w:r>
              <w:rPr>
                <w:sz w:val="22"/>
                <w:szCs w:val="22"/>
              </w:rPr>
              <w:t>%</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BC842F5" w:rsidR="00115216" w:rsidRDefault="00D82DA7">
            <w:pPr>
              <w:widowControl w:val="0"/>
              <w:pBdr>
                <w:top w:val="nil"/>
                <w:left w:val="nil"/>
                <w:bottom w:val="nil"/>
                <w:right w:val="nil"/>
                <w:between w:val="nil"/>
              </w:pBdr>
              <w:spacing w:after="0"/>
              <w:jc w:val="center"/>
              <w:rPr>
                <w:sz w:val="22"/>
                <w:szCs w:val="22"/>
              </w:rPr>
            </w:pPr>
            <w:r>
              <w:rPr>
                <w:sz w:val="22"/>
                <w:szCs w:val="22"/>
              </w:rPr>
              <w:t xml:space="preserve">CAUQ-B </w:t>
            </w:r>
            <w:r w:rsidR="004277B4" w:rsidRPr="004277B4">
              <w:rPr>
                <w:rFonts w:ascii="Cambria Math" w:hAnsi="Cambria Math" w:cs="Cambria Math"/>
                <w:sz w:val="22"/>
                <w:szCs w:val="22"/>
              </w:rPr>
              <w:t>⇒</w:t>
            </w:r>
            <w:r>
              <w:rPr>
                <w:sz w:val="22"/>
                <w:szCs w:val="22"/>
              </w:rPr>
              <w:t xml:space="preserve">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4"/>
      </w:r>
      <w:r>
        <w:t xml:space="preserve">, que habilita possibilidades para documentação de códigos genéricos e nas linguagens Matlab,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77777777"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Pr>
          <w:sz w:val="22"/>
          <w:szCs w:val="22"/>
        </w:rPr>
        <w:t>Fazendo o Matlab escrever LaTeX.</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679C6C40">
            <wp:extent cx="2905125" cy="50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05125" cy="508000"/>
                    </a:xfrm>
                    <a:prstGeom prst="rect">
                      <a:avLst/>
                    </a:prstGeom>
                    <a:ln/>
                  </pic:spPr>
                </pic:pic>
              </a:graphicData>
            </a:graphic>
          </wp:inline>
        </w:drawing>
      </w:r>
    </w:p>
    <w:p w14:paraId="1100605B" w14:textId="608A44B0"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4D614B">
        <w:rPr>
          <w:i/>
        </w:rPr>
        <w:t>I</w:t>
      </w:r>
      <w:r>
        <w:rPr>
          <w:i/>
        </w:rPr>
        <w:t>magens</w:t>
      </w:r>
      <w:r>
        <w:t>, por exemplo, assim como recomenda-se evitar o uso de bases de conhecimento voláteis.</w:t>
      </w:r>
    </w:p>
    <w:p w14:paraId="567D3BDA" w14:textId="0298DF58" w:rsidR="00115216" w:rsidRDefault="00D82DA7" w:rsidP="004F4586">
      <w:pPr>
        <w:pStyle w:val="FIATEXT"/>
      </w:pPr>
      <w:r>
        <w:t>As referências cruzadas devem ser feitas para todos os elementos, por exemplo: Figura 1 e Tabela 1 (apenas a primeira letra maiúscula).</w:t>
      </w:r>
      <w:r w:rsidR="004D614B">
        <w:t xml:space="preserve"> </w:t>
      </w:r>
      <w:r w:rsidR="004D614B" w:rsidRPr="004D614B">
        <w:t xml:space="preserve">Além disso, o número da figura ou da tabela não deve ser separado da palavra ``Figura'' ou ``Tabela'' para a linha seguinte. Para evitar isso, no Ms Word, use </w:t>
      </w:r>
      <w:proofErr w:type="spellStart"/>
      <w:r w:rsidR="004D614B" w:rsidRPr="004D614B">
        <w:t>Ctrl</w:t>
      </w:r>
      <w:proofErr w:type="spellEnd"/>
      <w:r w:rsidR="004D614B" w:rsidRPr="004D614B">
        <w:t xml:space="preserve"> + Shift + Espaço, e no LaTeX, insira um til (</w:t>
      </w:r>
      <w:r w:rsidR="004D614B">
        <w:t>~</w:t>
      </w:r>
      <w:r w:rsidR="004D614B" w:rsidRPr="004D614B">
        <w:t xml:space="preserve">) entre a palavra Figura e o comando </w:t>
      </w:r>
      <w:r w:rsidR="004D614B" w:rsidRPr="004D614B">
        <w:rPr>
          <w:rFonts w:ascii="Courier New" w:hAnsi="Courier New" w:cs="Courier New"/>
        </w:rPr>
        <w:t>\</w:t>
      </w:r>
      <w:proofErr w:type="spellStart"/>
      <w:r w:rsidR="004D614B" w:rsidRPr="004D614B">
        <w:rPr>
          <w:rFonts w:ascii="Courier New" w:hAnsi="Courier New" w:cs="Courier New"/>
        </w:rPr>
        <w:t>ref</w:t>
      </w:r>
      <w:proofErr w:type="spellEnd"/>
      <w:r w:rsidR="004D614B" w:rsidRPr="004D614B">
        <w:t xml:space="preserve"> ou entre a palavra Tabela e o comando </w:t>
      </w:r>
      <w:r w:rsidR="004D614B" w:rsidRPr="004D614B">
        <w:rPr>
          <w:rFonts w:ascii="Courier New" w:hAnsi="Courier New" w:cs="Courier New"/>
        </w:rPr>
        <w:t>\ref</w:t>
      </w:r>
      <w:r w:rsidR="004D614B" w:rsidRPr="004D614B">
        <w:t>.</w:t>
      </w:r>
      <w:r>
        <w:t xml:space="preserve"> Caso exista uma subfigura, use Figura 2 (a), por exemplo.</w:t>
      </w:r>
    </w:p>
    <w:p w14:paraId="1D6E0E43" w14:textId="77777777" w:rsidR="00115216" w:rsidRDefault="00D82DA7" w:rsidP="001833A2">
      <w:pPr>
        <w:pStyle w:val="FIASECTION"/>
      </w:pPr>
      <w:bookmarkStart w:id="35" w:name="_2dvpukqj5iue" w:colFirst="0" w:colLast="0"/>
      <w:bookmarkEnd w:id="35"/>
      <w:r>
        <w:t>4.  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037EE8CC" w14:textId="3B294812" w:rsidR="00096D00" w:rsidRDefault="00096D00">
      <w:pPr>
        <w:numPr>
          <w:ilvl w:val="0"/>
          <w:numId w:val="4"/>
        </w:numPr>
        <w:tabs>
          <w:tab w:val="right" w:pos="8645"/>
          <w:tab w:val="center" w:pos="8362"/>
          <w:tab w:val="right" w:pos="3401"/>
          <w:tab w:val="center" w:pos="3118"/>
        </w:tabs>
        <w:spacing w:after="0"/>
      </w:pPr>
      <w:r>
        <w:t>Acústica ambiental;</w:t>
      </w:r>
    </w:p>
    <w:p w14:paraId="36B58C03" w14:textId="77777777" w:rsidR="00096D00" w:rsidRDefault="00096D00">
      <w:pPr>
        <w:numPr>
          <w:ilvl w:val="0"/>
          <w:numId w:val="4"/>
        </w:numPr>
        <w:tabs>
          <w:tab w:val="right" w:pos="8645"/>
          <w:tab w:val="center" w:pos="8362"/>
          <w:tab w:val="right" w:pos="3401"/>
          <w:tab w:val="center" w:pos="3118"/>
        </w:tabs>
        <w:spacing w:after="0"/>
      </w:pPr>
      <w:r>
        <w:t>Acústica da audição e da fala;</w:t>
      </w:r>
    </w:p>
    <w:p w14:paraId="6DC927E1" w14:textId="77777777" w:rsidR="00096D00" w:rsidRDefault="00096D00">
      <w:pPr>
        <w:numPr>
          <w:ilvl w:val="0"/>
          <w:numId w:val="4"/>
        </w:numPr>
        <w:tabs>
          <w:tab w:val="right" w:pos="8645"/>
          <w:tab w:val="center" w:pos="8362"/>
          <w:tab w:val="right" w:pos="3401"/>
          <w:tab w:val="center" w:pos="3118"/>
        </w:tabs>
        <w:spacing w:after="0"/>
      </w:pPr>
      <w:r>
        <w:t>Acústica de edificações;</w:t>
      </w:r>
    </w:p>
    <w:p w14:paraId="590BC5F1" w14:textId="77777777" w:rsidR="00096D00" w:rsidRDefault="00096D00">
      <w:pPr>
        <w:numPr>
          <w:ilvl w:val="0"/>
          <w:numId w:val="4"/>
        </w:numPr>
        <w:tabs>
          <w:tab w:val="right" w:pos="8645"/>
          <w:tab w:val="center" w:pos="8362"/>
          <w:tab w:val="right" w:pos="3401"/>
          <w:tab w:val="center" w:pos="3118"/>
        </w:tabs>
        <w:spacing w:after="0"/>
      </w:pPr>
      <w:r>
        <w:t>Acústica de salas;</w:t>
      </w:r>
    </w:p>
    <w:p w14:paraId="33B59B46" w14:textId="77777777" w:rsidR="00096D00" w:rsidRDefault="00096D00">
      <w:pPr>
        <w:numPr>
          <w:ilvl w:val="0"/>
          <w:numId w:val="4"/>
        </w:numPr>
        <w:tabs>
          <w:tab w:val="right" w:pos="8645"/>
          <w:tab w:val="center" w:pos="8362"/>
          <w:tab w:val="right" w:pos="3401"/>
          <w:tab w:val="center" w:pos="3118"/>
        </w:tabs>
        <w:spacing w:after="0"/>
      </w:pPr>
      <w:r>
        <w:t xml:space="preserve">Acústica geral; </w:t>
      </w:r>
    </w:p>
    <w:p w14:paraId="59129569" w14:textId="77777777" w:rsidR="00096D00" w:rsidRDefault="00096D00">
      <w:pPr>
        <w:numPr>
          <w:ilvl w:val="0"/>
          <w:numId w:val="4"/>
        </w:numPr>
        <w:tabs>
          <w:tab w:val="right" w:pos="8645"/>
          <w:tab w:val="center" w:pos="8362"/>
          <w:tab w:val="right" w:pos="3401"/>
          <w:tab w:val="center" w:pos="3118"/>
        </w:tabs>
        <w:spacing w:after="0"/>
      </w:pPr>
      <w:r>
        <w:t>Acústica musical;</w:t>
      </w:r>
    </w:p>
    <w:p w14:paraId="38FAB3D6" w14:textId="77777777" w:rsidR="00096D00" w:rsidRDefault="00096D00">
      <w:pPr>
        <w:numPr>
          <w:ilvl w:val="0"/>
          <w:numId w:val="4"/>
        </w:numPr>
        <w:tabs>
          <w:tab w:val="right" w:pos="8645"/>
          <w:tab w:val="center" w:pos="8362"/>
          <w:tab w:val="right" w:pos="3401"/>
          <w:tab w:val="center" w:pos="3118"/>
        </w:tabs>
        <w:spacing w:after="0"/>
      </w:pPr>
      <w:r>
        <w:t>Acústica submarina;</w:t>
      </w:r>
    </w:p>
    <w:p w14:paraId="04D1F8A8" w14:textId="77777777" w:rsidR="00096D00" w:rsidRDefault="00096D00">
      <w:pPr>
        <w:numPr>
          <w:ilvl w:val="0"/>
          <w:numId w:val="4"/>
        </w:numPr>
        <w:tabs>
          <w:tab w:val="right" w:pos="8645"/>
          <w:tab w:val="center" w:pos="8362"/>
          <w:tab w:val="right" w:pos="3401"/>
          <w:tab w:val="center" w:pos="3118"/>
        </w:tabs>
        <w:spacing w:after="0"/>
      </w:pPr>
      <w:r>
        <w:t>Acústica veicular;</w:t>
      </w:r>
    </w:p>
    <w:p w14:paraId="063CE554" w14:textId="77777777" w:rsidR="00096D00" w:rsidRDefault="00096D00">
      <w:pPr>
        <w:numPr>
          <w:ilvl w:val="0"/>
          <w:numId w:val="4"/>
        </w:numPr>
        <w:tabs>
          <w:tab w:val="right" w:pos="8645"/>
          <w:tab w:val="center" w:pos="8362"/>
          <w:tab w:val="right" w:pos="3401"/>
          <w:tab w:val="center" w:pos="3118"/>
        </w:tabs>
        <w:spacing w:after="0"/>
      </w:pPr>
      <w:r>
        <w:t>Acústica virtual;</w:t>
      </w:r>
    </w:p>
    <w:p w14:paraId="69368601" w14:textId="77777777" w:rsidR="00096D00" w:rsidRDefault="00096D00">
      <w:pPr>
        <w:numPr>
          <w:ilvl w:val="0"/>
          <w:numId w:val="4"/>
        </w:numPr>
        <w:tabs>
          <w:tab w:val="right" w:pos="8645"/>
          <w:tab w:val="center" w:pos="8362"/>
          <w:tab w:val="right" w:pos="3401"/>
          <w:tab w:val="center" w:pos="3118"/>
        </w:tabs>
        <w:spacing w:after="0"/>
      </w:pPr>
      <w:r>
        <w:t>Aeroacústica;</w:t>
      </w:r>
    </w:p>
    <w:p w14:paraId="6BBFC0EF" w14:textId="77777777" w:rsidR="00096D00" w:rsidRDefault="00096D00">
      <w:pPr>
        <w:numPr>
          <w:ilvl w:val="0"/>
          <w:numId w:val="4"/>
        </w:numPr>
        <w:tabs>
          <w:tab w:val="right" w:pos="8645"/>
          <w:tab w:val="center" w:pos="8362"/>
          <w:tab w:val="right" w:pos="3401"/>
          <w:tab w:val="center" w:pos="3118"/>
        </w:tabs>
        <w:spacing w:after="0"/>
      </w:pPr>
      <w:r>
        <w:t>Áudio e eletroacústica;</w:t>
      </w:r>
    </w:p>
    <w:p w14:paraId="3659723B" w14:textId="77777777" w:rsidR="00096D00" w:rsidRDefault="00096D00">
      <w:pPr>
        <w:numPr>
          <w:ilvl w:val="0"/>
          <w:numId w:val="4"/>
        </w:numPr>
        <w:tabs>
          <w:tab w:val="right" w:pos="8645"/>
          <w:tab w:val="center" w:pos="8362"/>
          <w:tab w:val="right" w:pos="3401"/>
          <w:tab w:val="center" w:pos="3118"/>
        </w:tabs>
        <w:spacing w:after="0"/>
      </w:pPr>
      <w:r>
        <w:t>Bioacústica;</w:t>
      </w:r>
    </w:p>
    <w:p w14:paraId="2080205F" w14:textId="77777777" w:rsidR="00096D00" w:rsidRDefault="00096D00">
      <w:pPr>
        <w:numPr>
          <w:ilvl w:val="0"/>
          <w:numId w:val="4"/>
        </w:numPr>
        <w:tabs>
          <w:tab w:val="right" w:pos="8645"/>
          <w:tab w:val="center" w:pos="8362"/>
          <w:tab w:val="right" w:pos="3401"/>
          <w:tab w:val="center" w:pos="3118"/>
        </w:tabs>
        <w:spacing w:after="0"/>
      </w:pPr>
      <w:r>
        <w:t>Controle de ruído;</w:t>
      </w:r>
    </w:p>
    <w:p w14:paraId="6E66954E" w14:textId="77777777" w:rsidR="00096D00" w:rsidRDefault="00096D00">
      <w:pPr>
        <w:numPr>
          <w:ilvl w:val="0"/>
          <w:numId w:val="4"/>
        </w:numPr>
        <w:tabs>
          <w:tab w:val="right" w:pos="8645"/>
          <w:tab w:val="center" w:pos="8362"/>
          <w:tab w:val="right" w:pos="3401"/>
          <w:tab w:val="center" w:pos="3118"/>
        </w:tabs>
        <w:spacing w:after="0"/>
      </w:pPr>
      <w:r>
        <w:t>Ensino em acústica;</w:t>
      </w:r>
    </w:p>
    <w:p w14:paraId="707AC566" w14:textId="27CD0C60" w:rsidR="00096D00" w:rsidRDefault="00096D00" w:rsidP="001833A2">
      <w:pPr>
        <w:numPr>
          <w:ilvl w:val="0"/>
          <w:numId w:val="4"/>
        </w:numPr>
        <w:tabs>
          <w:tab w:val="right" w:pos="8645"/>
          <w:tab w:val="center" w:pos="8362"/>
          <w:tab w:val="right" w:pos="3401"/>
          <w:tab w:val="center" w:pos="3118"/>
        </w:tabs>
        <w:spacing w:after="0"/>
      </w:pPr>
      <w:r>
        <w:t>INAD e IYS 2020+;</w:t>
      </w:r>
    </w:p>
    <w:p w14:paraId="30F3C1D5" w14:textId="77777777" w:rsidR="00096D00" w:rsidRDefault="00096D00">
      <w:pPr>
        <w:numPr>
          <w:ilvl w:val="0"/>
          <w:numId w:val="4"/>
        </w:numPr>
        <w:tabs>
          <w:tab w:val="right" w:pos="8645"/>
          <w:tab w:val="center" w:pos="8362"/>
          <w:tab w:val="right" w:pos="3401"/>
          <w:tab w:val="center" w:pos="3118"/>
        </w:tabs>
        <w:spacing w:after="0"/>
      </w:pPr>
      <w:r>
        <w:t>Legislação e normalização em acústica;</w:t>
      </w:r>
    </w:p>
    <w:p w14:paraId="125FD1E3" w14:textId="77777777" w:rsidR="00096D00" w:rsidRDefault="00096D00">
      <w:pPr>
        <w:numPr>
          <w:ilvl w:val="0"/>
          <w:numId w:val="4"/>
        </w:numPr>
        <w:tabs>
          <w:tab w:val="right" w:pos="8645"/>
          <w:tab w:val="center" w:pos="8362"/>
          <w:tab w:val="right" w:pos="3401"/>
          <w:tab w:val="center" w:pos="3118"/>
        </w:tabs>
        <w:spacing w:after="0"/>
      </w:pPr>
      <w:r>
        <w:t>Materiais acústicos;</w:t>
      </w:r>
    </w:p>
    <w:p w14:paraId="0103AC36" w14:textId="77777777" w:rsidR="00096D00" w:rsidRDefault="00096D00">
      <w:pPr>
        <w:numPr>
          <w:ilvl w:val="0"/>
          <w:numId w:val="4"/>
        </w:numPr>
        <w:tabs>
          <w:tab w:val="right" w:pos="8645"/>
          <w:tab w:val="center" w:pos="8362"/>
          <w:tab w:val="right" w:pos="3401"/>
          <w:tab w:val="center" w:pos="3118"/>
        </w:tabs>
        <w:spacing w:after="0"/>
      </w:pPr>
      <w:r>
        <w:t>Medições em acústica e vibrações;</w:t>
      </w:r>
    </w:p>
    <w:p w14:paraId="04F256AF" w14:textId="77777777" w:rsidR="00096D00" w:rsidRDefault="00096D00">
      <w:pPr>
        <w:numPr>
          <w:ilvl w:val="0"/>
          <w:numId w:val="4"/>
        </w:numPr>
        <w:tabs>
          <w:tab w:val="right" w:pos="8645"/>
          <w:tab w:val="center" w:pos="8362"/>
          <w:tab w:val="right" w:pos="3401"/>
          <w:tab w:val="center" w:pos="3118"/>
        </w:tabs>
        <w:spacing w:after="0"/>
      </w:pPr>
      <w:r>
        <w:t>Métodos numéricos em acústica e vibrações;</w:t>
      </w:r>
    </w:p>
    <w:p w14:paraId="5FF41A7E" w14:textId="77777777" w:rsidR="00096D00" w:rsidRDefault="00096D00">
      <w:pPr>
        <w:numPr>
          <w:ilvl w:val="0"/>
          <w:numId w:val="4"/>
        </w:numPr>
        <w:tabs>
          <w:tab w:val="right" w:pos="8645"/>
          <w:tab w:val="center" w:pos="8362"/>
          <w:tab w:val="right" w:pos="3401"/>
          <w:tab w:val="center" w:pos="3118"/>
        </w:tabs>
        <w:spacing w:after="0"/>
      </w:pPr>
      <w:r>
        <w:t>Paisagens sonoras;</w:t>
      </w:r>
    </w:p>
    <w:p w14:paraId="32A92B79" w14:textId="77777777" w:rsidR="00096D00" w:rsidRDefault="00096D00">
      <w:pPr>
        <w:numPr>
          <w:ilvl w:val="0"/>
          <w:numId w:val="4"/>
        </w:numPr>
        <w:tabs>
          <w:tab w:val="right" w:pos="8645"/>
          <w:tab w:val="center" w:pos="8362"/>
          <w:tab w:val="right" w:pos="3401"/>
          <w:tab w:val="center" w:pos="3118"/>
        </w:tabs>
        <w:spacing w:after="0"/>
      </w:pPr>
      <w:r>
        <w:t>Processamento de sinais;</w:t>
      </w:r>
    </w:p>
    <w:p w14:paraId="1EF5976D" w14:textId="77777777" w:rsidR="00096D00" w:rsidRDefault="00096D00">
      <w:pPr>
        <w:numPr>
          <w:ilvl w:val="0"/>
          <w:numId w:val="4"/>
        </w:numPr>
        <w:tabs>
          <w:tab w:val="right" w:pos="8645"/>
          <w:tab w:val="center" w:pos="8362"/>
          <w:tab w:val="right" w:pos="3401"/>
          <w:tab w:val="center" w:pos="3118"/>
        </w:tabs>
        <w:spacing w:after="0"/>
      </w:pPr>
      <w:r>
        <w:t>Psicoacústica;</w:t>
      </w:r>
    </w:p>
    <w:p w14:paraId="4EBEFB9A" w14:textId="006098A5" w:rsidR="00096D00" w:rsidRDefault="00096D00">
      <w:pPr>
        <w:numPr>
          <w:ilvl w:val="0"/>
          <w:numId w:val="4"/>
        </w:numPr>
        <w:tabs>
          <w:tab w:val="right" w:pos="8645"/>
          <w:tab w:val="center" w:pos="8362"/>
          <w:tab w:val="right" w:pos="3401"/>
          <w:tab w:val="center" w:pos="3118"/>
        </w:tabs>
        <w:spacing w:after="0"/>
      </w:pPr>
      <w:r>
        <w:t>Ruído e vibrações em ambiente laboral;</w:t>
      </w:r>
    </w:p>
    <w:p w14:paraId="14CC9649" w14:textId="6288F4EE" w:rsidR="00096D00" w:rsidRDefault="00096D00">
      <w:pPr>
        <w:numPr>
          <w:ilvl w:val="0"/>
          <w:numId w:val="4"/>
        </w:numPr>
        <w:tabs>
          <w:tab w:val="right" w:pos="8645"/>
          <w:tab w:val="center" w:pos="8362"/>
          <w:tab w:val="right" w:pos="3401"/>
          <w:tab w:val="center" w:pos="3118"/>
        </w:tabs>
        <w:spacing w:after="0"/>
      </w:pPr>
      <w:r w:rsidRPr="00096D00">
        <w:t>Técnicas de imageamento acústico;</w:t>
      </w:r>
    </w:p>
    <w:p w14:paraId="0FC715F8" w14:textId="11099E9B" w:rsidR="00096D00" w:rsidRDefault="00096D00">
      <w:pPr>
        <w:numPr>
          <w:ilvl w:val="0"/>
          <w:numId w:val="4"/>
        </w:numPr>
        <w:tabs>
          <w:tab w:val="right" w:pos="8645"/>
          <w:tab w:val="center" w:pos="8362"/>
          <w:tab w:val="right" w:pos="3401"/>
          <w:tab w:val="center" w:pos="3118"/>
        </w:tabs>
        <w:spacing w:after="0"/>
      </w:pPr>
      <w:r>
        <w:t>Ultrassom; e</w:t>
      </w:r>
    </w:p>
    <w:p w14:paraId="63A28875" w14:textId="01616919" w:rsidR="00096D00" w:rsidRDefault="00096D00" w:rsidP="001833A2">
      <w:pPr>
        <w:numPr>
          <w:ilvl w:val="0"/>
          <w:numId w:val="4"/>
        </w:numPr>
        <w:tabs>
          <w:tab w:val="right" w:pos="8645"/>
          <w:tab w:val="center" w:pos="8362"/>
          <w:tab w:val="right" w:pos="3401"/>
          <w:tab w:val="center" w:pos="3118"/>
        </w:tabs>
        <w:spacing w:after="0"/>
      </w:pPr>
      <w:r>
        <w:t>Vibrações e Vibroacústica.</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77777777" w:rsidR="00115216" w:rsidRDefault="00D82DA7" w:rsidP="001833A2">
      <w:pPr>
        <w:pStyle w:val="FIASECTION"/>
      </w:pPr>
      <w:bookmarkStart w:id="36" w:name="_1nflzpf8fggl" w:colFirst="0" w:colLast="0"/>
      <w:bookmarkEnd w:id="36"/>
      <w:r>
        <w:t>5.  ORGANIZAÇÃO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77777777" w:rsidR="00115216" w:rsidRDefault="00D82DA7">
      <w:pPr>
        <w:numPr>
          <w:ilvl w:val="0"/>
          <w:numId w:val="2"/>
        </w:numPr>
        <w:tabs>
          <w:tab w:val="right" w:pos="8645"/>
          <w:tab w:val="center" w:pos="8362"/>
          <w:tab w:val="right" w:pos="3401"/>
          <w:tab w:val="center" w:pos="3118"/>
        </w:tabs>
        <w:spacing w:after="200"/>
      </w:pPr>
      <w:r>
        <w:t>Agradecimentos: opcional, quando for pertinente.</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7" w:name="_5vaw256waf8q" w:colFirst="0" w:colLast="0"/>
      <w:bookmarkEnd w:id="37"/>
      <w:r>
        <w:t>5.1 Citações</w:t>
      </w:r>
      <w:r w:rsidR="00D82DA7">
        <w:t xml:space="preserve"> e referências</w:t>
      </w:r>
    </w:p>
    <w:p w14:paraId="6D82814E" w14:textId="543FA75F" w:rsidR="00115216" w:rsidRDefault="00D82DA7" w:rsidP="004F4586">
      <w:pPr>
        <w:pStyle w:val="FIATEXT"/>
      </w:pPr>
      <w:r>
        <w:t xml:space="preserve">Para a confecção das referências deve-se utilizar a norma vigente. As referências devem ser </w:t>
      </w:r>
      <w:r>
        <w:rPr>
          <w:b/>
        </w:rPr>
        <w:t>numeradas conforme ordem de aparição</w:t>
      </w:r>
      <w:r>
        <w:t xml:space="preserve">, utilizando colchetes [4]. Todas </w:t>
      </w:r>
      <w:r w:rsidR="00CE4616">
        <w:t xml:space="preserve">as </w:t>
      </w:r>
      <w:r>
        <w:t>referências devem ser citadas durante o texto. As referências [1</w:t>
      </w:r>
      <w:r w:rsidR="00D71B2B">
        <w:t>–</w:t>
      </w:r>
      <w:r>
        <w:t>9] deste modelo de artigo são apenas ilustrativas (para efeito de compreensão).</w:t>
      </w:r>
    </w:p>
    <w:p w14:paraId="42A779FB" w14:textId="77777777"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proofErr w:type="spellStart"/>
      <w:r w:rsidRPr="0035426E">
        <w:rPr>
          <w:rFonts w:ascii="Courier New" w:eastAsia="Courier New" w:hAnsi="Courier New" w:cs="Courier New"/>
          <w:sz w:val="22"/>
          <w:szCs w:val="22"/>
        </w:rPr>
        <w:t>natbib</w:t>
      </w:r>
      <w:proofErr w:type="spellEnd"/>
      <w:r>
        <w:t xml:space="preserve"> para a organização das referências. Além disso, recomenda-se a utilização de gerenciadores de banco de dados de bibliografia como o </w:t>
      </w:r>
      <w:hyperlink r:id="rId21">
        <w:proofErr w:type="spellStart"/>
        <w:r>
          <w:rPr>
            <w:color w:val="1155CC"/>
            <w:u w:val="single"/>
          </w:rPr>
          <w:t>JabRef</w:t>
        </w:r>
        <w:proofErr w:type="spellEnd"/>
      </w:hyperlink>
      <w:r>
        <w:t xml:space="preserve">, </w:t>
      </w:r>
      <w:hyperlink r:id="rId22">
        <w:proofErr w:type="spellStart"/>
        <w:r>
          <w:rPr>
            <w:color w:val="1155CC"/>
            <w:u w:val="single"/>
          </w:rPr>
          <w:t>Mendeley</w:t>
        </w:r>
        <w:proofErr w:type="spellEnd"/>
      </w:hyperlink>
      <w:r>
        <w:t xml:space="preserve"> e </w:t>
      </w:r>
      <w:hyperlink r:id="rId23">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77777777" w:rsidR="00115216" w:rsidRDefault="00D82DA7" w:rsidP="004F4586">
      <w:pPr>
        <w:pStyle w:val="FIATEXT"/>
      </w:pPr>
      <w:r>
        <w:t xml:space="preserve">Dependendo do contexto, o nome do autor pode ou não ser escrito, conforme os exemplos a seguir: </w:t>
      </w:r>
    </w:p>
    <w:p w14:paraId="3D135A81" w14:textId="2DE257AE" w:rsidR="00115216" w:rsidRDefault="00D82DA7">
      <w:pPr>
        <w:numPr>
          <w:ilvl w:val="0"/>
          <w:numId w:val="3"/>
        </w:numPr>
        <w:tabs>
          <w:tab w:val="right" w:pos="8645"/>
          <w:tab w:val="center" w:pos="8362"/>
          <w:tab w:val="right" w:pos="3401"/>
          <w:tab w:val="center" w:pos="3118"/>
        </w:tabs>
        <w:spacing w:after="200"/>
      </w:pPr>
      <w:r>
        <w:t xml:space="preserve">“... Mareze </w:t>
      </w:r>
      <w:r w:rsidRPr="00895EA2">
        <w:rPr>
          <w:i/>
          <w:iCs/>
        </w:rPr>
        <w:t>et al.</w:t>
      </w:r>
      <w:r>
        <w:t xml:space="preserve"> [7] trabalharam com absorção de materiais porosos…”</w:t>
      </w:r>
      <w:r w:rsidR="00370480">
        <w:t>,</w:t>
      </w:r>
      <w:r>
        <w:t xml:space="preserve"> ou </w:t>
      </w:r>
      <w:r>
        <w:tab/>
      </w:r>
    </w:p>
    <w:p w14:paraId="2A83DE28" w14:textId="5F4A7CE2" w:rsidR="00115216" w:rsidRDefault="00D82DA7">
      <w:pPr>
        <w:numPr>
          <w:ilvl w:val="0"/>
          <w:numId w:val="3"/>
        </w:numPr>
        <w:tabs>
          <w:tab w:val="right" w:pos="8645"/>
          <w:tab w:val="center" w:pos="8362"/>
          <w:tab w:val="right" w:pos="3401"/>
          <w:tab w:val="center" w:pos="3118"/>
        </w:tabs>
        <w:spacing w:after="200"/>
      </w:pPr>
      <w:r>
        <w:t>“... para o estudo de acústica de salas [3] recomenda-se a leitura de um livro texto…”</w:t>
      </w:r>
      <w:r w:rsidR="00370480">
        <w:t>,</w:t>
      </w:r>
      <w:r>
        <w:t xml:space="preserve"> ou</w:t>
      </w:r>
    </w:p>
    <w:p w14:paraId="1FEE6F76" w14:textId="47A5DFAA"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proofErr w:type="gramStart"/>
      <w:r>
        <w:t>].“</w:t>
      </w:r>
      <w:proofErr w:type="gramEnd"/>
      <w:r w:rsidR="00370480">
        <w:t>,</w:t>
      </w:r>
      <w:r>
        <w:t xml:space="preserve"> ou ainda</w:t>
      </w:r>
    </w:p>
    <w:p w14:paraId="1936CDEC" w14:textId="77777777"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370480">
        <w:rPr>
          <w:i/>
          <w:iCs/>
        </w:rPr>
        <w:t>et al.</w:t>
      </w:r>
      <w:r>
        <w:t xml:space="preserve"> [4] deve-se citar somente o último nome do primeiro autor seguido da expressão “</w:t>
      </w:r>
      <w:r w:rsidRPr="00370480">
        <w:rPr>
          <w:i/>
          <w:iCs/>
        </w:rPr>
        <w:t>et al.</w:t>
      </w:r>
      <w:r>
        <w:t>”. Ainda, ao citar mais de uma referência, utilize apenas um colchete, veja alguns exemplos a seguir:</w:t>
      </w:r>
    </w:p>
    <w:p w14:paraId="633A48D3" w14:textId="77777777" w:rsidR="00115216" w:rsidRDefault="00D82DA7">
      <w:pPr>
        <w:numPr>
          <w:ilvl w:val="0"/>
          <w:numId w:val="6"/>
        </w:numPr>
        <w:tabs>
          <w:tab w:val="right" w:pos="8645"/>
          <w:tab w:val="center" w:pos="8362"/>
          <w:tab w:val="right" w:pos="3401"/>
          <w:tab w:val="center" w:pos="3118"/>
        </w:tabs>
        <w:spacing w:after="200"/>
      </w:pPr>
      <w:r>
        <w:t>“Trabalhos em temas de acústica e vibrações [1–3].”</w:t>
      </w:r>
    </w:p>
    <w:p w14:paraId="4E08B492" w14:textId="1220BFBB" w:rsidR="00115216" w:rsidRDefault="00D82DA7">
      <w:pPr>
        <w:numPr>
          <w:ilvl w:val="0"/>
          <w:numId w:val="6"/>
        </w:numPr>
        <w:tabs>
          <w:tab w:val="right" w:pos="8645"/>
          <w:tab w:val="center" w:pos="8362"/>
          <w:tab w:val="right" w:pos="3401"/>
          <w:tab w:val="center" w:pos="3118"/>
        </w:tabs>
        <w:spacing w:after="200"/>
      </w:pPr>
      <w:r>
        <w:t xml:space="preserve">“Trabalhos em temas de acústica </w:t>
      </w:r>
      <w:r w:rsidR="0035426E">
        <w:br/>
      </w:r>
      <w:r>
        <w:t>[2, 5–7].”</w:t>
      </w:r>
    </w:p>
    <w:p w14:paraId="3F0430C9" w14:textId="77777777" w:rsidR="00115216" w:rsidRDefault="00D82DA7">
      <w:pPr>
        <w:numPr>
          <w:ilvl w:val="0"/>
          <w:numId w:val="6"/>
        </w:numPr>
        <w:tabs>
          <w:tab w:val="right" w:pos="8645"/>
          <w:tab w:val="center" w:pos="8362"/>
          <w:tab w:val="right" w:pos="3401"/>
          <w:tab w:val="center" w:pos="3118"/>
        </w:tabs>
        <w:spacing w:after="200"/>
      </w:pPr>
      <w:r>
        <w:t>“Trabalhos com análise estatística [2, 3, 8].”</w:t>
      </w:r>
    </w:p>
    <w:p w14:paraId="1ED07081" w14:textId="0D682794" w:rsidR="00115216" w:rsidRDefault="00D82DA7">
      <w:pPr>
        <w:numPr>
          <w:ilvl w:val="0"/>
          <w:numId w:val="6"/>
        </w:numPr>
        <w:tabs>
          <w:tab w:val="right" w:pos="8645"/>
          <w:tab w:val="center" w:pos="8362"/>
          <w:tab w:val="right" w:pos="3401"/>
          <w:tab w:val="center" w:pos="3118"/>
        </w:tabs>
        <w:spacing w:after="200"/>
      </w:pPr>
      <w:r>
        <w:rPr>
          <w:b/>
        </w:rPr>
        <w:t>Não usar esse estilo:</w:t>
      </w:r>
      <w:r>
        <w:t xml:space="preserve"> “Trabalhos com análise estatística [2], [3], [9] ou </w:t>
      </w:r>
      <w:r w:rsidR="0035426E">
        <w:br/>
      </w:r>
      <w:r>
        <w:t>[</w:t>
      </w:r>
      <w:proofErr w:type="gramStart"/>
      <w:r>
        <w:t>2]–</w:t>
      </w:r>
      <w:proofErr w:type="gramEnd"/>
      <w:r>
        <w:t>[9].”</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5"/>
      </w:r>
      <w:r>
        <w:t xml:space="preserve"> (com link) e/ou link com a direção online em que o documento citado está disponível.</w:t>
      </w:r>
    </w:p>
    <w:p w14:paraId="4FE71C94" w14:textId="77777777" w:rsidR="00115216" w:rsidRDefault="00D82DA7" w:rsidP="001833A2">
      <w:pPr>
        <w:pStyle w:val="FIASECTION"/>
      </w:pPr>
      <w:bookmarkStart w:id="40" w:name="_s7mu5g924i8" w:colFirst="0" w:colLast="0"/>
      <w:bookmarkEnd w:id="40"/>
      <w:r>
        <w:t>6.  SUBMISSÃO E AVALIAÇÃO</w:t>
      </w:r>
    </w:p>
    <w:p w14:paraId="70403DF1" w14:textId="77777777" w:rsidR="00115216" w:rsidRDefault="00D82DA7" w:rsidP="004F4586">
      <w:pPr>
        <w:pStyle w:val="FIATEXT"/>
      </w:pPr>
      <w:r>
        <w:t xml:space="preserve">Após a aprovação dos resumos submetidos no site do evento: </w:t>
      </w:r>
      <w:hyperlink r:id="rId24">
        <w:r>
          <w:rPr>
            <w:color w:val="1155CC"/>
            <w:u w:val="single"/>
          </w:rPr>
          <w:t>https://www.fia2022.com.br</w:t>
        </w:r>
      </w:hyperlink>
      <w:r>
        <w:t>, os autores serão convocados para elaborar os trabalhos completos. Detalhes acerca de registro podem ser consultados também no site, ou com a comissão organizadora.</w:t>
      </w:r>
    </w:p>
    <w:p w14:paraId="6B954122" w14:textId="77777777"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77777777" w:rsidR="00115216" w:rsidRDefault="00D82DA7" w:rsidP="004F4586">
      <w:pPr>
        <w:pStyle w:val="FIATEXT"/>
      </w:pPr>
      <w:r>
        <w:t>Pesquisas que envolvam pessoas (ou seres vivos, em geral), como em acústica subjetiva ou fisiológica, por exemplo, deverão aclarar no artigo o termo de aprovação do Comitê de Ética, caso pertinente.</w:t>
      </w:r>
    </w:p>
    <w:p w14:paraId="7518C608" w14:textId="77777777" w:rsidR="00115216" w:rsidRDefault="00D82DA7" w:rsidP="001833A2">
      <w:pPr>
        <w:pStyle w:val="FIASECTION"/>
      </w:pPr>
      <w:bookmarkStart w:id="41" w:name="_etyj0ey8se6g" w:colFirst="0" w:colLast="0"/>
      <w:bookmarkEnd w:id="41"/>
      <w:r>
        <w:t>7.  MODELOS PARA WORD E LaTeX</w:t>
      </w:r>
    </w:p>
    <w:p w14:paraId="52720A7B" w14:textId="77777777"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5">
        <w:proofErr w:type="spellStart"/>
        <w:r>
          <w:rPr>
            <w:color w:val="1155CC"/>
            <w:u w:val="single"/>
          </w:rPr>
          <w:t>Overleaf</w:t>
        </w:r>
        <w:proofErr w:type="spellEnd"/>
      </w:hyperlink>
      <w:r>
        <w:rPr>
          <w:vertAlign w:val="superscript"/>
        </w:rPr>
        <w:footnoteReference w:id="6"/>
      </w:r>
      <w:r>
        <w:t>. Pode ser usado livremente para a elaboração dos artigos.</w:t>
      </w:r>
    </w:p>
    <w:p w14:paraId="7C08E7F9" w14:textId="77777777" w:rsidR="00115216" w:rsidRDefault="00D82DA7" w:rsidP="004F4586">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p>
    <w:p w14:paraId="53B5D8D0" w14:textId="74CFC55E" w:rsidR="00167503" w:rsidRDefault="00167503" w:rsidP="00167503">
      <w:pPr>
        <w:pStyle w:val="FIATEXT"/>
      </w:pPr>
      <w:r>
        <w:t>O autor deste texto e dos modelos é o professor William D'Andrea Fonseca, da Engenharia Acústica (EAC) da Universidade Federal de Santa Maria (UFSM). A revisão foi realizada pelo professor Stephan Paul (UFSC). O modelo de Ms Word foi finalizado pelo graduando Felipe Ramos de Mello (EAC/UFSM).</w:t>
      </w:r>
    </w:p>
    <w:p w14:paraId="61D3AC4B" w14:textId="3840B469" w:rsidR="00167503" w:rsidRDefault="00167503" w:rsidP="00167503">
      <w:pPr>
        <w:pStyle w:val="FIATEXT"/>
      </w:pPr>
      <w:r>
        <w:t xml:space="preserve">A tradução para o inglês foi realizada por Thiago </w:t>
      </w:r>
      <w:proofErr w:type="spellStart"/>
      <w:r>
        <w:t>Morphy</w:t>
      </w:r>
      <w:proofErr w:type="spellEnd"/>
      <w:r>
        <w:t xml:space="preserve"> e pelos professores Stephan Paul (UFSC) e William D'Andrea Fonseca — a revisão textual foi realizada por Joseph </w:t>
      </w:r>
      <w:proofErr w:type="spellStart"/>
      <w:r>
        <w:t>Lacey</w:t>
      </w:r>
      <w:proofErr w:type="spellEnd"/>
      <w:r>
        <w:t xml:space="preserve">. A versão em espanhol foi traduzida por Diego Martin </w:t>
      </w:r>
      <w:proofErr w:type="spellStart"/>
      <w:r>
        <w:t>Tuozzo</w:t>
      </w:r>
      <w:proofErr w:type="spellEnd"/>
      <w:r>
        <w:t xml:space="preserve"> e revisada por William D'Andrea Fonseca e Sicrano.</w:t>
      </w:r>
    </w:p>
    <w:p w14:paraId="40998DCD" w14:textId="364D6F5B" w:rsidR="00115216" w:rsidRDefault="00D82DA7" w:rsidP="00167503">
      <w:pPr>
        <w:pStyle w:val="FIATEXT"/>
      </w:pPr>
      <w:r>
        <w:t xml:space="preserve">Todas eles estão disponíveis com links no </w:t>
      </w:r>
      <w:hyperlink r:id="rId26">
        <w:r>
          <w:rPr>
            <w:color w:val="1155CC"/>
            <w:u w:val="single"/>
          </w:rPr>
          <w:t>site do evento</w:t>
        </w:r>
      </w:hyperlink>
      <w:r>
        <w:t xml:space="preserve">, no </w:t>
      </w:r>
      <w:hyperlink r:id="rId27">
        <w:proofErr w:type="spellStart"/>
        <w:r>
          <w:rPr>
            <w:color w:val="1155CC"/>
            <w:u w:val="single"/>
          </w:rPr>
          <w:t>Overleaf</w:t>
        </w:r>
        <w:proofErr w:type="spellEnd"/>
        <w:r>
          <w:rPr>
            <w:color w:val="1155CC"/>
            <w:u w:val="single"/>
          </w:rPr>
          <w:t xml:space="preserve"> </w:t>
        </w:r>
      </w:hyperlink>
      <w:r>
        <w:t>(</w:t>
      </w:r>
      <w:hyperlink r:id="rId28">
        <w:r>
          <w:rPr>
            <w:color w:val="1155CC"/>
            <w:u w:val="single"/>
          </w:rPr>
          <w:t>PT-BR</w:t>
        </w:r>
      </w:hyperlink>
      <w:r>
        <w:t xml:space="preserve">, </w:t>
      </w:r>
      <w:hyperlink r:id="rId29">
        <w:r>
          <w:rPr>
            <w:color w:val="1155CC"/>
            <w:u w:val="single"/>
          </w:rPr>
          <w:t>SP</w:t>
        </w:r>
      </w:hyperlink>
      <w:r>
        <w:t xml:space="preserve"> e </w:t>
      </w:r>
      <w:hyperlink r:id="rId30">
        <w:r>
          <w:rPr>
            <w:color w:val="1155CC"/>
            <w:u w:val="single"/>
          </w:rPr>
          <w:t>EN</w:t>
        </w:r>
      </w:hyperlink>
      <w:r>
        <w:t xml:space="preserve">) e no </w:t>
      </w:r>
      <w:hyperlink r:id="rId31">
        <w:r>
          <w:rPr>
            <w:color w:val="1155CC"/>
            <w:u w:val="single"/>
          </w:rPr>
          <w:t>GitHub</w:t>
        </w:r>
      </w:hyperlink>
      <w:r>
        <w:rPr>
          <w:vertAlign w:val="superscript"/>
        </w:rPr>
        <w:footnoteReference w:id="7"/>
      </w:r>
      <w:r>
        <w:t>.</w:t>
      </w:r>
    </w:p>
    <w:p w14:paraId="5DE1D966" w14:textId="77777777" w:rsidR="00115216" w:rsidRDefault="00D82DA7" w:rsidP="001833A2">
      <w:pPr>
        <w:pStyle w:val="FIASECTION"/>
      </w:pPr>
      <w:bookmarkStart w:id="45" w:name="_vtn4od6kc6vm" w:colFirst="0" w:colLast="0"/>
      <w:bookmarkEnd w:id="45"/>
      <w:r>
        <w:t>8.  CONSIDERAÇÕES FINAIS</w:t>
      </w:r>
    </w:p>
    <w:p w14:paraId="3C5DF56C" w14:textId="77777777" w:rsidR="00115216" w:rsidRDefault="00D82DA7" w:rsidP="004F4586">
      <w:pPr>
        <w:pStyle w:val="FIATEXT"/>
      </w:pPr>
      <w:r>
        <w:t xml:space="preserve">Buscou-se, por meio desse </w:t>
      </w:r>
      <w:r>
        <w:rPr>
          <w:i/>
        </w:rPr>
        <w:t>artigo modelo</w:t>
      </w:r>
      <w:r>
        <w:t>, elencar e aclarar as instruções para submissão de artigos para o FIA 2020/22 integrando o XXIX Encontro da Sobrac. Este próprio documento pode ser usado como modelo apenas trocando o conteúdo.</w:t>
      </w:r>
    </w:p>
    <w:p w14:paraId="7B9D0221" w14:textId="77777777" w:rsidR="00115216" w:rsidRDefault="00D82DA7" w:rsidP="001833A2">
      <w:pPr>
        <w:pStyle w:val="FIASECTION"/>
      </w:pPr>
      <w:bookmarkStart w:id="46" w:name="_5sgd70w4eghf" w:colFirst="0" w:colLast="0"/>
      <w:bookmarkEnd w:id="46"/>
      <w:r>
        <w:t>9.  AGRADECIMENTOS</w:t>
      </w:r>
    </w:p>
    <w:p w14:paraId="51679A48" w14:textId="5A87F6E7" w:rsidR="00115216" w:rsidRDefault="00D82DA7" w:rsidP="004F4586">
      <w:pPr>
        <w:pStyle w:val="FIATEXT"/>
      </w:pPr>
      <w:r>
        <w:t>Se for pertinente, faça agradecimentos. Em caso de trabalhos com fomento, utilize esta seção para elucidar detalhes.</w:t>
      </w:r>
    </w:p>
    <w:p w14:paraId="2D17D1DD" w14:textId="7209ADD8" w:rsidR="00167503" w:rsidRDefault="00167503" w:rsidP="004F4586">
      <w:pPr>
        <w:pStyle w:val="FIATEXT"/>
      </w:pPr>
      <w:r w:rsidRPr="00167503">
        <w:t>No caso deste documento, a comissão organizadora agradece à cooperação de todos para com o evento.</w:t>
      </w:r>
    </w:p>
    <w:p w14:paraId="442D107A" w14:textId="77777777" w:rsidR="00115216" w:rsidRDefault="00D82DA7" w:rsidP="001833A2">
      <w:pPr>
        <w:pStyle w:val="FIASECTION"/>
      </w:pPr>
      <w:r>
        <w:t>REFERÊNCIAS</w:t>
      </w:r>
    </w:p>
    <w:p w14:paraId="0FDE0019" w14:textId="256C5453" w:rsidR="00115216" w:rsidRDefault="00D82DA7" w:rsidP="004F4586">
      <w:pPr>
        <w:pStyle w:val="FIAREFERENCES"/>
      </w:pPr>
      <w:r>
        <w:t>[1] Fonseca, William D’A. Beamforming considerando difração acústica em superfícies cilíndricas. Tese de doutorado, Universidade Federal de Santa Catarina, Florianópolis, SC,</w:t>
      </w:r>
      <w:r w:rsidR="00167503">
        <w:t xml:space="preserve"> Brasil,</w:t>
      </w:r>
      <w:r>
        <w:t xml:space="preserve"> 2013. Disponível em: </w:t>
      </w:r>
      <w:hyperlink r:id="rId32">
        <w:r>
          <w:rPr>
            <w:color w:val="1155CC"/>
            <w:u w:val="single"/>
          </w:rPr>
          <w:t>http://www.bu.ufsc.br/teses/PEMC1445-T.pdf</w:t>
        </w:r>
      </w:hyperlink>
      <w:r>
        <w:t>. ISBN 978-8591677405.</w:t>
      </w:r>
    </w:p>
    <w:p w14:paraId="52B68883" w14:textId="6EAA5597" w:rsidR="00115216" w:rsidRDefault="00D82DA7" w:rsidP="004F4586">
      <w:pPr>
        <w:pStyle w:val="FIAREFERENCES"/>
      </w:pPr>
      <w:r>
        <w:t xml:space="preserve">[2] Mareze, Paulo H.; </w:t>
      </w:r>
      <w:proofErr w:type="spellStart"/>
      <w:r>
        <w:t>Copetti</w:t>
      </w:r>
      <w:proofErr w:type="spellEnd"/>
      <w:r>
        <w:t xml:space="preserve">, Guilherme; Brandão, Eric; Fonseca, William D’A.; </w:t>
      </w:r>
      <w:proofErr w:type="spellStart"/>
      <w:r>
        <w:t>Dresch</w:t>
      </w:r>
      <w:proofErr w:type="spellEnd"/>
      <w:r>
        <w:t xml:space="preserve">, Fernanda e </w:t>
      </w:r>
      <w:proofErr w:type="spellStart"/>
      <w:r>
        <w:t>Specht</w:t>
      </w:r>
      <w:proofErr w:type="spellEnd"/>
      <w:r>
        <w:t>, Luciano P. Modelagem da absorção acústica de camadas porosas asfálticas. Em XXVIII Encontro da Sociedade Brasileira de Acústica</w:t>
      </w:r>
      <w:r w:rsidR="00167503">
        <w:t xml:space="preserve"> (</w:t>
      </w:r>
      <w:r>
        <w:t>Sobrac 2017</w:t>
      </w:r>
      <w:r w:rsidR="00167503">
        <w:t>)</w:t>
      </w:r>
      <w:r>
        <w:t>, Brasília, DF,</w:t>
      </w:r>
      <w:r w:rsidR="00167503">
        <w:t xml:space="preserve"> Brasil,</w:t>
      </w:r>
      <w:r>
        <w:t xml:space="preserve"> 2017. Disponível em: </w:t>
      </w:r>
      <w:hyperlink r:id="rId33">
        <w:r>
          <w:rPr>
            <w:color w:val="1155CC"/>
            <w:u w:val="single"/>
          </w:rPr>
          <w:t>https://bit.ly/Modelagem-daabsorcao-acustica-de-camadas-porosas-asfalticas</w:t>
        </w:r>
      </w:hyperlink>
      <w:r>
        <w:t xml:space="preserve">. </w:t>
      </w:r>
    </w:p>
    <w:p w14:paraId="3F9FE3BB" w14:textId="77777777" w:rsidR="00115216" w:rsidRDefault="00D82DA7" w:rsidP="004F4586">
      <w:pPr>
        <w:pStyle w:val="FIAREFERENCES"/>
      </w:pPr>
      <w:r>
        <w:t xml:space="preserve">[3] Brandão, Eric. Acústica de Salas: Projeto e Modelagem. 1a ed. São Paulo: </w:t>
      </w:r>
      <w:proofErr w:type="spellStart"/>
      <w:r>
        <w:t>Blucher</w:t>
      </w:r>
      <w:proofErr w:type="spellEnd"/>
      <w:r>
        <w:t>, 2016. ISBN 978-8521210061.</w:t>
      </w:r>
    </w:p>
    <w:p w14:paraId="73F0441D" w14:textId="40300CA0" w:rsidR="00115216" w:rsidRDefault="00D82DA7" w:rsidP="004F4586">
      <w:pPr>
        <w:pStyle w:val="FIAREFERENCES"/>
      </w:pPr>
      <w:r>
        <w:t xml:space="preserve">[4] Gomes, Márcio H. A.; </w:t>
      </w:r>
      <w:proofErr w:type="spellStart"/>
      <w:r>
        <w:t>Bonifacio</w:t>
      </w:r>
      <w:proofErr w:type="spellEnd"/>
      <w:r>
        <w:t xml:space="preserve">, Paulo R. O.; Carvalho, Mário O. M. e </w:t>
      </w:r>
      <w:proofErr w:type="spellStart"/>
      <w:r>
        <w:t>Azikri</w:t>
      </w:r>
      <w:proofErr w:type="spellEnd"/>
      <w:r>
        <w:t xml:space="preserve">, </w:t>
      </w:r>
      <w:proofErr w:type="spellStart"/>
      <w:r>
        <w:t>Hilbeth</w:t>
      </w:r>
      <w:proofErr w:type="spellEnd"/>
      <w:r>
        <w:t xml:space="preserve"> P. </w:t>
      </w:r>
      <w:proofErr w:type="spellStart"/>
      <w:r>
        <w:t>Vibroacoustic</w:t>
      </w:r>
      <w:proofErr w:type="spellEnd"/>
      <w:r>
        <w:t xml:space="preserve"> </w:t>
      </w:r>
      <w:proofErr w:type="spellStart"/>
      <w:r>
        <w:t>method</w:t>
      </w:r>
      <w:proofErr w:type="spellEnd"/>
      <w:r>
        <w:t xml:space="preserve"> for non </w:t>
      </w:r>
      <w:proofErr w:type="spellStart"/>
      <w:r>
        <w:t>destructive</w:t>
      </w:r>
      <w:proofErr w:type="spellEnd"/>
      <w:r>
        <w:t xml:space="preserve"> </w:t>
      </w:r>
      <w:proofErr w:type="spellStart"/>
      <w:r>
        <w:t>test</w:t>
      </w:r>
      <w:proofErr w:type="spellEnd"/>
      <w:r>
        <w:t xml:space="preserve"> </w:t>
      </w:r>
      <w:proofErr w:type="spellStart"/>
      <w:r>
        <w:t>of</w:t>
      </w:r>
      <w:proofErr w:type="spellEnd"/>
      <w:r>
        <w:t xml:space="preserve"> </w:t>
      </w:r>
      <w:proofErr w:type="spellStart"/>
      <w:r>
        <w:t>composite</w:t>
      </w:r>
      <w:proofErr w:type="spellEnd"/>
      <w:r>
        <w:t xml:space="preserve"> </w:t>
      </w:r>
      <w:proofErr w:type="spellStart"/>
      <w:r>
        <w:t>sandwich</w:t>
      </w:r>
      <w:proofErr w:type="spellEnd"/>
      <w:r>
        <w:t xml:space="preserve"> </w:t>
      </w:r>
      <w:proofErr w:type="spellStart"/>
      <w:r>
        <w:t>structures</w:t>
      </w:r>
      <w:proofErr w:type="spellEnd"/>
      <w:r>
        <w:t xml:space="preserve">. Applied </w:t>
      </w:r>
      <w:proofErr w:type="spellStart"/>
      <w:r>
        <w:t>Mechanics</w:t>
      </w:r>
      <w:proofErr w:type="spellEnd"/>
      <w:r>
        <w:t xml:space="preserve"> </w:t>
      </w:r>
      <w:proofErr w:type="spellStart"/>
      <w:r>
        <w:t>and</w:t>
      </w:r>
      <w:proofErr w:type="spellEnd"/>
      <w:r>
        <w:t xml:space="preserve"> </w:t>
      </w:r>
      <w:proofErr w:type="spellStart"/>
      <w:r>
        <w:t>Materials</w:t>
      </w:r>
      <w:proofErr w:type="spellEnd"/>
      <w:r>
        <w:t xml:space="preserve">, 751:153–158, 2015. ISSN 1662-7482. </w:t>
      </w:r>
      <w:proofErr w:type="spellStart"/>
      <w:r>
        <w:t>doi</w:t>
      </w:r>
      <w:proofErr w:type="spellEnd"/>
      <w:r>
        <w:t xml:space="preserve">: </w:t>
      </w:r>
      <w:hyperlink r:id="rId34" w:history="1">
        <w:r w:rsidRPr="00D71B2B">
          <w:rPr>
            <w:rStyle w:val="Hyperlink"/>
          </w:rPr>
          <w:t>10.4028/www.scientific.net/AMM.751.153</w:t>
        </w:r>
      </w:hyperlink>
      <w:r>
        <w:t>.</w:t>
      </w:r>
    </w:p>
    <w:p w14:paraId="6371FBCD" w14:textId="77777777" w:rsidR="00115216" w:rsidRDefault="00D82DA7" w:rsidP="004F4586">
      <w:pPr>
        <w:pStyle w:val="FIAREFERENCES"/>
      </w:pPr>
      <w:r>
        <w:t xml:space="preserve">[5] </w:t>
      </w:r>
      <w:proofErr w:type="spellStart"/>
      <w:r>
        <w:t>Oppenheim</w:t>
      </w:r>
      <w:proofErr w:type="spellEnd"/>
      <w:r>
        <w:t xml:space="preserve">, Alan e </w:t>
      </w:r>
      <w:proofErr w:type="spellStart"/>
      <w:r>
        <w:t>Willsky</w:t>
      </w:r>
      <w:proofErr w:type="spellEnd"/>
      <w:r>
        <w:t>, A. Simon. Sinais e Sistemas. 2a ed. São Paulo: Pearson, 2010. ISBN 978-8576055044.</w:t>
      </w:r>
    </w:p>
    <w:p w14:paraId="26D5DDA3" w14:textId="57709403" w:rsidR="00115216" w:rsidRDefault="00D82DA7" w:rsidP="004F4586">
      <w:pPr>
        <w:pStyle w:val="FIAREFERENCES"/>
      </w:pPr>
      <w:r>
        <w:t xml:space="preserve">[6] Müller, </w:t>
      </w:r>
      <w:proofErr w:type="spellStart"/>
      <w:r>
        <w:t>Swen</w:t>
      </w:r>
      <w:proofErr w:type="spellEnd"/>
      <w:r>
        <w:t xml:space="preserve"> e Massarani, Paulo. </w:t>
      </w:r>
      <w:proofErr w:type="spellStart"/>
      <w:r>
        <w:t>Transfer-function</w:t>
      </w:r>
      <w:proofErr w:type="spellEnd"/>
      <w:r>
        <w:t xml:space="preserve"> </w:t>
      </w:r>
      <w:proofErr w:type="spellStart"/>
      <w:r>
        <w:t>measurement</w:t>
      </w:r>
      <w:proofErr w:type="spellEnd"/>
      <w:r>
        <w:t xml:space="preserve"> </w:t>
      </w:r>
      <w:proofErr w:type="spellStart"/>
      <w:r>
        <w:t>with</w:t>
      </w:r>
      <w:proofErr w:type="spellEnd"/>
      <w:r>
        <w:t xml:space="preserve"> </w:t>
      </w:r>
      <w:proofErr w:type="spellStart"/>
      <w:r>
        <w:t>sweeps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w:t>
      </w:r>
      <w:proofErr w:type="spellStart"/>
      <w:r>
        <w:t>Audio</w:t>
      </w:r>
      <w:proofErr w:type="spellEnd"/>
      <w:r>
        <w:t xml:space="preserve"> </w:t>
      </w:r>
      <w:proofErr w:type="spellStart"/>
      <w:r>
        <w:t>Engineering</w:t>
      </w:r>
      <w:proofErr w:type="spellEnd"/>
      <w:r>
        <w:t xml:space="preserve"> Society, 49(6):443–471, 2001. ISSN 1549-4950. Disponível em: </w:t>
      </w:r>
      <w:hyperlink r:id="rId35" w:history="1">
        <w:r w:rsidRPr="00D71B2B">
          <w:rPr>
            <w:rStyle w:val="Hyperlink"/>
          </w:rPr>
          <w:t>http://www.aes.org/elib/browse.cfm?elib=10189</w:t>
        </w:r>
      </w:hyperlink>
      <w:r>
        <w:t>.</w:t>
      </w:r>
    </w:p>
    <w:p w14:paraId="75A47AD9" w14:textId="2E69B2DD" w:rsidR="00115216" w:rsidRDefault="00D82DA7" w:rsidP="004F4586">
      <w:pPr>
        <w:pStyle w:val="FIAREFERENCES"/>
      </w:pPr>
      <w:r>
        <w:t xml:space="preserve">[7] Mareze, Paulo H.; Brandão, Eric; Fonseca, William D’Andrea; Silva, Olavo M. e </w:t>
      </w:r>
      <w:proofErr w:type="spellStart"/>
      <w:r>
        <w:t>Lenzi</w:t>
      </w:r>
      <w:proofErr w:type="spellEnd"/>
      <w:r>
        <w:t xml:space="preserve">, Arcanjo. </w:t>
      </w:r>
      <w:proofErr w:type="spellStart"/>
      <w:r>
        <w:t>Modeling</w:t>
      </w:r>
      <w:proofErr w:type="spellEnd"/>
      <w:r>
        <w:t xml:space="preserve"> </w:t>
      </w:r>
      <w:proofErr w:type="spellStart"/>
      <w:r>
        <w:t>of</w:t>
      </w:r>
      <w:proofErr w:type="spellEnd"/>
      <w:r>
        <w:t xml:space="preserve"> </w:t>
      </w:r>
      <w:proofErr w:type="spellStart"/>
      <w:r>
        <w:t>acoustic</w:t>
      </w:r>
      <w:proofErr w:type="spellEnd"/>
      <w:r>
        <w:t xml:space="preserve"> </w:t>
      </w:r>
      <w:proofErr w:type="spellStart"/>
      <w:r>
        <w:t>porous</w:t>
      </w:r>
      <w:proofErr w:type="spellEnd"/>
      <w:r>
        <w:t xml:space="preserve"> material absorber </w:t>
      </w:r>
      <w:proofErr w:type="spellStart"/>
      <w:r>
        <w:t>using</w:t>
      </w:r>
      <w:proofErr w:type="spellEnd"/>
      <w:r>
        <w:t xml:space="preserve"> </w:t>
      </w:r>
      <w:proofErr w:type="spellStart"/>
      <w:r>
        <w:t>rigid</w:t>
      </w:r>
      <w:proofErr w:type="spellEnd"/>
      <w:r>
        <w:t xml:space="preserve"> </w:t>
      </w:r>
      <w:proofErr w:type="spellStart"/>
      <w:r>
        <w:t>multiple</w:t>
      </w:r>
      <w:proofErr w:type="spellEnd"/>
      <w:r>
        <w:t xml:space="preserve"> </w:t>
      </w:r>
      <w:proofErr w:type="spellStart"/>
      <w:r>
        <w:t>micro-ducts</w:t>
      </w:r>
      <w:proofErr w:type="spellEnd"/>
      <w:r>
        <w:t xml:space="preserve"> network: </w:t>
      </w:r>
      <w:proofErr w:type="spellStart"/>
      <w:r>
        <w:t>Validation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proposed</w:t>
      </w:r>
      <w:proofErr w:type="spellEnd"/>
      <w:r>
        <w:t xml:space="preserve"> model. </w:t>
      </w:r>
      <w:proofErr w:type="spellStart"/>
      <w:r>
        <w:t>Journal</w:t>
      </w:r>
      <w:proofErr w:type="spellEnd"/>
      <w:r>
        <w:t xml:space="preserve"> </w:t>
      </w:r>
      <w:proofErr w:type="spellStart"/>
      <w:r>
        <w:t>of</w:t>
      </w:r>
      <w:proofErr w:type="spellEnd"/>
      <w:r>
        <w:t xml:space="preserve"> </w:t>
      </w:r>
      <w:proofErr w:type="spellStart"/>
      <w:r>
        <w:t>Sound</w:t>
      </w:r>
      <w:proofErr w:type="spellEnd"/>
      <w:r>
        <w:t xml:space="preserve"> </w:t>
      </w:r>
      <w:proofErr w:type="spellStart"/>
      <w:r>
        <w:t>and</w:t>
      </w:r>
      <w:proofErr w:type="spellEnd"/>
      <w:r>
        <w:t xml:space="preserve"> </w:t>
      </w:r>
      <w:proofErr w:type="spellStart"/>
      <w:r>
        <w:t>Vibration</w:t>
      </w:r>
      <w:proofErr w:type="spellEnd"/>
      <w:r>
        <w:t xml:space="preserve">, 443:376–396, 2019. ISSN 0022-460X. </w:t>
      </w:r>
      <w:proofErr w:type="spellStart"/>
      <w:r>
        <w:t>doi</w:t>
      </w:r>
      <w:proofErr w:type="spellEnd"/>
      <w:r>
        <w:t xml:space="preserve">: </w:t>
      </w:r>
      <w:hyperlink r:id="rId36" w:history="1">
        <w:r w:rsidRPr="00D71B2B">
          <w:rPr>
            <w:rStyle w:val="Hyperlink"/>
          </w:rPr>
          <w:t>10.1016/j.jsv.2018.11.036</w:t>
        </w:r>
      </w:hyperlink>
      <w:r w:rsidR="00C93F40">
        <w:rPr>
          <w:color w:val="0000FF"/>
        </w:rPr>
        <w:t>.</w:t>
      </w:r>
    </w:p>
    <w:p w14:paraId="4209BF5B" w14:textId="2072C042" w:rsidR="00115216" w:rsidRDefault="00D82DA7" w:rsidP="004F4586">
      <w:pPr>
        <w:pStyle w:val="FIAREFERENCES"/>
      </w:pPr>
      <w:r>
        <w:t xml:space="preserve">[8] Borges, Joice; Pacheco, Fernanda; </w:t>
      </w:r>
      <w:proofErr w:type="spellStart"/>
      <w:r>
        <w:t>Tutikian</w:t>
      </w:r>
      <w:proofErr w:type="spellEnd"/>
      <w:r>
        <w:t xml:space="preserve">, Bernardo e Oliveira, Maria Fernanda. </w:t>
      </w:r>
      <w:proofErr w:type="spellStart"/>
      <w:r>
        <w:t>An</w:t>
      </w:r>
      <w:proofErr w:type="spellEnd"/>
      <w:r>
        <w:t xml:space="preserve"> experimental </w:t>
      </w:r>
      <w:proofErr w:type="spellStart"/>
      <w:r>
        <w:t>study</w:t>
      </w:r>
      <w:proofErr w:type="spellEnd"/>
      <w:r>
        <w:t xml:space="preserve"> </w:t>
      </w:r>
      <w:proofErr w:type="spellStart"/>
      <w:r>
        <w:t>on</w:t>
      </w:r>
      <w:proofErr w:type="spellEnd"/>
      <w:r>
        <w:t xml:space="preserve"> </w:t>
      </w:r>
      <w:proofErr w:type="spellStart"/>
      <w:r>
        <w:t>the</w:t>
      </w:r>
      <w:proofErr w:type="spellEnd"/>
      <w:r>
        <w:t xml:space="preserve"> use </w:t>
      </w:r>
      <w:proofErr w:type="spellStart"/>
      <w:r>
        <w:t>of</w:t>
      </w:r>
      <w:proofErr w:type="spellEnd"/>
      <w:r>
        <w:t xml:space="preserve"> </w:t>
      </w:r>
      <w:proofErr w:type="spellStart"/>
      <w:r>
        <w:t>waste</w:t>
      </w:r>
      <w:proofErr w:type="spellEnd"/>
      <w:r>
        <w:t xml:space="preserve"> </w:t>
      </w:r>
      <w:proofErr w:type="spellStart"/>
      <w:r>
        <w:t>aggregate</w:t>
      </w:r>
      <w:proofErr w:type="spellEnd"/>
      <w:r>
        <w:t xml:space="preserve"> for </w:t>
      </w:r>
      <w:proofErr w:type="spellStart"/>
      <w:r>
        <w:t>acoustic</w:t>
      </w:r>
      <w:proofErr w:type="spellEnd"/>
      <w:r>
        <w:t xml:space="preserve"> </w:t>
      </w:r>
      <w:proofErr w:type="spellStart"/>
      <w:r>
        <w:t>attenuation</w:t>
      </w:r>
      <w:proofErr w:type="spellEnd"/>
      <w:r>
        <w:t xml:space="preserve">: EVA </w:t>
      </w:r>
      <w:proofErr w:type="spellStart"/>
      <w:r>
        <w:t>and</w:t>
      </w:r>
      <w:proofErr w:type="spellEnd"/>
      <w:r>
        <w:t xml:space="preserve"> rice </w:t>
      </w:r>
      <w:proofErr w:type="spellStart"/>
      <w:r>
        <w:t>husk</w:t>
      </w:r>
      <w:proofErr w:type="spellEnd"/>
      <w:r>
        <w:t xml:space="preserve"> </w:t>
      </w:r>
      <w:proofErr w:type="spellStart"/>
      <w:r>
        <w:t>composites</w:t>
      </w:r>
      <w:proofErr w:type="spellEnd"/>
      <w:r>
        <w:t xml:space="preserve"> for </w:t>
      </w:r>
      <w:proofErr w:type="spellStart"/>
      <w:r>
        <w:t>impact</w:t>
      </w:r>
      <w:proofErr w:type="spellEnd"/>
      <w:r>
        <w:t xml:space="preserve"> </w:t>
      </w:r>
      <w:proofErr w:type="spellStart"/>
      <w:r>
        <w:t>noise</w:t>
      </w:r>
      <w:proofErr w:type="spellEnd"/>
      <w:r>
        <w:t xml:space="preserve"> </w:t>
      </w:r>
      <w:proofErr w:type="spellStart"/>
      <w:r>
        <w:t>reduction</w:t>
      </w:r>
      <w:proofErr w:type="spellEnd"/>
      <w:r>
        <w:t xml:space="preserve">. </w:t>
      </w:r>
      <w:proofErr w:type="spellStart"/>
      <w:r>
        <w:t>Construction</w:t>
      </w:r>
      <w:proofErr w:type="spellEnd"/>
      <w:r>
        <w:t xml:space="preserve"> </w:t>
      </w:r>
      <w:proofErr w:type="spellStart"/>
      <w:r>
        <w:t>and</w:t>
      </w:r>
      <w:proofErr w:type="spellEnd"/>
      <w:r>
        <w:t xml:space="preserve"> Building </w:t>
      </w:r>
      <w:proofErr w:type="spellStart"/>
      <w:r>
        <w:t>Materials</w:t>
      </w:r>
      <w:proofErr w:type="spellEnd"/>
      <w:r>
        <w:t>, 161:501–508, 2018. ISSN 0950-0618.</w:t>
      </w:r>
      <w:r w:rsidR="00C93F40">
        <w:t xml:space="preserve"> </w:t>
      </w:r>
      <w:r w:rsidR="00C93F40">
        <w:br/>
      </w:r>
      <w:proofErr w:type="spellStart"/>
      <w:r>
        <w:t>doi</w:t>
      </w:r>
      <w:proofErr w:type="spellEnd"/>
      <w:r>
        <w:t xml:space="preserve">: </w:t>
      </w:r>
      <w:hyperlink r:id="rId37" w:history="1">
        <w:r w:rsidRPr="00D71B2B">
          <w:rPr>
            <w:rStyle w:val="Hyperlink"/>
          </w:rPr>
          <w:t>10.1016/j.conbuildmat.2017.11.078</w:t>
        </w:r>
      </w:hyperlink>
      <w:r>
        <w:t>.</w:t>
      </w:r>
    </w:p>
    <w:p w14:paraId="432B780F" w14:textId="709C7697" w:rsidR="00C93F40" w:rsidRDefault="00D82DA7" w:rsidP="004F4586">
      <w:pPr>
        <w:pStyle w:val="FIAREFERENCES"/>
      </w:pPr>
      <w:r>
        <w:t xml:space="preserve">[9] </w:t>
      </w:r>
      <w:proofErr w:type="spellStart"/>
      <w:r>
        <w:t>Ristow</w:t>
      </w:r>
      <w:proofErr w:type="spellEnd"/>
      <w:r>
        <w:t xml:space="preserve">, João Paulo; </w:t>
      </w:r>
      <w:proofErr w:type="spellStart"/>
      <w:r>
        <w:t>Pinson</w:t>
      </w:r>
      <w:proofErr w:type="spellEnd"/>
      <w:r>
        <w:t xml:space="preserve">, Samuel; Fonseca, William D’A. e </w:t>
      </w:r>
      <w:proofErr w:type="spellStart"/>
      <w:r>
        <w:t>Cordioli</w:t>
      </w:r>
      <w:proofErr w:type="spellEnd"/>
      <w:r>
        <w:t xml:space="preserve">, </w:t>
      </w:r>
      <w:proofErr w:type="spellStart"/>
      <w:r>
        <w:t>Julio</w:t>
      </w:r>
      <w:proofErr w:type="spellEnd"/>
      <w:r>
        <w:t xml:space="preserve">. Utilização da </w:t>
      </w:r>
      <w:r w:rsidR="00167503">
        <w:t>I</w:t>
      </w:r>
      <w:r>
        <w:t xml:space="preserve">ntegral de </w:t>
      </w:r>
      <w:proofErr w:type="spellStart"/>
      <w:r w:rsidR="00167503">
        <w:t>K</w:t>
      </w:r>
      <w:r>
        <w:t>irchhoff-</w:t>
      </w:r>
      <w:r w:rsidR="00167503">
        <w:t>H</w:t>
      </w:r>
      <w:r>
        <w:t>elmholtz</w:t>
      </w:r>
      <w:proofErr w:type="spellEnd"/>
      <w:r>
        <w:t xml:space="preserve"> para simulação de dados de sonar de múltiplos feixes. Acústica &amp; Vibrações, 31(48): 5–18, 2016. ISSN 1983-442X</w:t>
      </w:r>
      <w:r w:rsidR="00C93F40">
        <w:t>.</w:t>
      </w:r>
      <w:r w:rsidR="00167503">
        <w:t xml:space="preserve"> </w:t>
      </w:r>
      <w:proofErr w:type="spellStart"/>
      <w:r w:rsidR="00167503" w:rsidRPr="00167503">
        <w:t>doi</w:t>
      </w:r>
      <w:proofErr w:type="spellEnd"/>
      <w:r w:rsidR="00167503" w:rsidRPr="00167503">
        <w:t xml:space="preserve">: </w:t>
      </w:r>
      <w:hyperlink r:id="rId38" w:history="1">
        <w:r w:rsidR="00167503" w:rsidRPr="00167503">
          <w:rPr>
            <w:rStyle w:val="Hyperlink"/>
          </w:rPr>
          <w:t>10.55753/</w:t>
        </w:r>
        <w:proofErr w:type="gramStart"/>
        <w:r w:rsidR="00167503" w:rsidRPr="00167503">
          <w:rPr>
            <w:rStyle w:val="Hyperlink"/>
          </w:rPr>
          <w:t>aev.v</w:t>
        </w:r>
        <w:proofErr w:type="gramEnd"/>
        <w:r w:rsidR="00167503" w:rsidRPr="00167503">
          <w:rPr>
            <w:rStyle w:val="Hyperlink"/>
          </w:rPr>
          <w:t>31e48.98</w:t>
        </w:r>
      </w:hyperlink>
      <w:r w:rsidR="00167503" w:rsidRPr="00167503">
        <w:t>.</w:t>
      </w:r>
    </w:p>
    <w:p w14:paraId="0AFEEEE3" w14:textId="75A99FD4" w:rsidR="00115216" w:rsidRDefault="00115216" w:rsidP="004F4586">
      <w:pPr>
        <w:pStyle w:val="FIAREFERENCES"/>
      </w:pPr>
    </w:p>
    <w:p w14:paraId="711F325C" w14:textId="77777777" w:rsidR="00115216" w:rsidRDefault="00D82DA7" w:rsidP="001833A2">
      <w:pPr>
        <w:pStyle w:val="FIASECTION"/>
      </w:pPr>
      <w:bookmarkStart w:id="47" w:name="_yiybsthzr0v4" w:colFirst="0" w:colLast="0"/>
      <w:bookmarkEnd w:id="47"/>
      <w:r>
        <w:t>A.  EXEMPLO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709599A0"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\F (ℱ) para simbolizar a Transformada de Fourier. Para conhecer melhor os comandos, consulte o arquivo </w:t>
      </w:r>
      <w:r w:rsidRPr="00C93F40">
        <w:rPr>
          <w:rFonts w:ascii="Courier New" w:eastAsia="Courier New" w:hAnsi="Courier New" w:cs="Courier New"/>
          <w:sz w:val="20"/>
          <w:szCs w:val="20"/>
        </w:rPr>
        <w:t>FIA2020.sty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type w:val="continuous"/>
      <w:pgSz w:w="11906" w:h="16838"/>
      <w:pgMar w:top="453" w:right="1020" w:bottom="1133" w:left="1020" w:header="340" w:footer="720" w:gutter="0"/>
      <w:cols w:num="2" w:space="720" w:equalWidth="0">
        <w:col w:w="4572" w:space="720"/>
        <w:col w:w="457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E62A" w14:textId="77777777" w:rsidR="00163729" w:rsidRDefault="00163729">
      <w:pPr>
        <w:spacing w:after="0"/>
      </w:pPr>
      <w:r>
        <w:separator/>
      </w:r>
    </w:p>
  </w:endnote>
  <w:endnote w:type="continuationSeparator" w:id="0">
    <w:p w14:paraId="5F9A7C06" w14:textId="77777777" w:rsidR="00163729" w:rsidRDefault="001637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6B6A6" w14:textId="77777777" w:rsidR="00163729" w:rsidRDefault="00163729">
      <w:pPr>
        <w:spacing w:after="0"/>
      </w:pPr>
      <w:r>
        <w:separator/>
      </w:r>
    </w:p>
  </w:footnote>
  <w:footnote w:type="continuationSeparator" w:id="0">
    <w:p w14:paraId="77B5FA78" w14:textId="77777777" w:rsidR="00163729" w:rsidRDefault="00163729">
      <w:pPr>
        <w:spacing w:after="0"/>
      </w:pPr>
      <w:r>
        <w:continuationSeparator/>
      </w:r>
    </w:p>
  </w:footnote>
  <w:footnote w:id="1">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8" w:name="_feh8zzo2t7fs" w:colFirst="0" w:colLast="0"/>
    <w:bookmarkEnd w:id="18"/>
  </w:footnote>
  <w:footnote w:id="2">
    <w:p w14:paraId="3E6BB140" w14:textId="77777777" w:rsidR="00115216" w:rsidRDefault="00D82DA7" w:rsidP="001833A2">
      <w:pPr>
        <w:pStyle w:val="FIAFOOTNOTE"/>
      </w:pPr>
      <w:bookmarkStart w:id="26" w:name="_feh8zzo2t7fs" w:colFirst="0" w:colLast="0"/>
      <w:bookmarkEnd w:id="26"/>
      <w:r>
        <w:rPr>
          <w:vertAlign w:val="superscript"/>
        </w:rPr>
        <w:footnoteRef/>
      </w:r>
      <w:r>
        <w:t xml:space="preserve"> Notas de rodapé podem ajudar a aclarar pequenos detalhes e comentários.</w:t>
      </w:r>
    </w:p>
    <w:bookmarkStart w:id="27" w:name="_bqoo4z7bzd4r" w:colFirst="0" w:colLast="0"/>
    <w:bookmarkEnd w:id="27"/>
  </w:footnote>
  <w:footnote w:id="3">
    <w:p w14:paraId="447BCCDA" w14:textId="77777777" w:rsidR="00115216" w:rsidRDefault="00D82DA7" w:rsidP="001833A2">
      <w:pPr>
        <w:pStyle w:val="FIAFOOTNOTE"/>
      </w:pPr>
      <w:bookmarkStart w:id="30" w:name="_bqoo4z7bzd4r" w:colFirst="0" w:colLast="0"/>
      <w:bookmarkEnd w:id="30"/>
      <w:r>
        <w:rPr>
          <w:vertAlign w:val="superscript"/>
        </w:rPr>
        <w:footnoteRef/>
      </w:r>
      <w:r>
        <w:t xml:space="preserve"> Unidades são sempre grafadas “em pé”, ou seja, não em itálico, por exemplo, 30 N/m</w:t>
      </w:r>
      <w:r>
        <w:rPr>
          <w:vertAlign w:val="superscript"/>
        </w:rPr>
        <w:t>2</w:t>
      </w:r>
      <w:r>
        <w:t>.</w:t>
      </w:r>
    </w:p>
    <w:bookmarkStart w:id="31" w:name="_1l89nh4jnl4r" w:colFirst="0" w:colLast="0"/>
    <w:bookmarkEnd w:id="31"/>
  </w:footnote>
  <w:footnote w:id="4">
    <w:p w14:paraId="5C6E908C" w14:textId="436AE65D" w:rsidR="00115216" w:rsidRDefault="00D82DA7" w:rsidP="001833A2">
      <w:pPr>
        <w:pStyle w:val="FIAFOOTNOTE"/>
      </w:pPr>
      <w:bookmarkStart w:id="33" w:name="_1l89nh4jnl4r" w:colFirst="0" w:colLast="0"/>
      <w:bookmarkEnd w:id="33"/>
      <w:r>
        <w:rPr>
          <w:vertAlign w:val="superscript"/>
        </w:rPr>
        <w:footnoteRef/>
      </w:r>
      <w:r>
        <w:t xml:space="preserve"> O pacote está ainda em desenvolvimento (sem documentação detalhada), logo, para mais detalhes consulte o arquivo </w:t>
      </w:r>
      <w:r w:rsidR="00C64D48" w:rsidRPr="00C64D48">
        <w:rPr>
          <w:rFonts w:ascii="Courier New" w:hAnsi="Courier New" w:cs="Courier New"/>
        </w:rPr>
        <w:t>.</w:t>
      </w:r>
      <w:proofErr w:type="spellStart"/>
      <w:r w:rsidRPr="00C64D48">
        <w:rPr>
          <w:rFonts w:ascii="Courier New" w:hAnsi="Courier New" w:cs="Courier New"/>
        </w:rPr>
        <w:t>sty</w:t>
      </w:r>
      <w:proofErr w:type="spellEnd"/>
      <w:r>
        <w:t>.</w:t>
      </w:r>
    </w:p>
    <w:bookmarkStart w:id="34" w:name="_3n9i3c4z3aet" w:colFirst="0" w:colLast="0"/>
    <w:bookmarkEnd w:id="34"/>
  </w:footnote>
  <w:footnote w:id="5">
    <w:p w14:paraId="18AC4465" w14:textId="3567FFF7" w:rsidR="00115216" w:rsidRDefault="00D82DA7" w:rsidP="001833A2">
      <w:pPr>
        <w:pStyle w:val="FIAFOOTNOTE"/>
      </w:pPr>
      <w:bookmarkStart w:id="38" w:name="_3n9i3c4z3aet" w:colFirst="0" w:colLast="0"/>
      <w:bookmarkEnd w:id="38"/>
      <w:r>
        <w:rPr>
          <w:vertAlign w:val="superscript"/>
        </w:rPr>
        <w:footnoteRef/>
      </w:r>
      <w:r>
        <w:t xml:space="preserve"> Para usuários de La</w:t>
      </w:r>
      <w:r w:rsidR="00C64D48">
        <w:t>T</w:t>
      </w:r>
      <w:r>
        <w:t>e</w:t>
      </w:r>
      <w:r w:rsidR="00C64D48">
        <w:t>X</w:t>
      </w:r>
      <w:r>
        <w:t xml:space="preserve"> basta usar o campo “</w:t>
      </w:r>
      <w:proofErr w:type="spellStart"/>
      <w:r>
        <w:t>doi</w:t>
      </w:r>
      <w:proofErr w:type="spellEnd"/>
      <w:r>
        <w:t>” de seu</w:t>
      </w:r>
      <w:r w:rsidR="00C64D48">
        <w:t xml:space="preserve"> </w:t>
      </w:r>
      <w:proofErr w:type="gramStart"/>
      <w:r w:rsidR="00C64D48">
        <w:t>repositório</w:t>
      </w:r>
      <w:r>
        <w:t xml:space="preserve">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proofErr w:type="gramEnd"/>
      <w:r>
        <w:t>.</w:t>
      </w:r>
    </w:p>
    <w:bookmarkStart w:id="39" w:name="_4cwqn1ivoh53" w:colFirst="0" w:colLast="0"/>
    <w:bookmarkEnd w:id="39"/>
  </w:footnote>
  <w:footnote w:id="6">
    <w:p w14:paraId="23C8A1FF" w14:textId="15276AB7" w:rsidR="00115216" w:rsidRDefault="00D82DA7" w:rsidP="001833A2">
      <w:pPr>
        <w:pStyle w:val="FIAFOOTNOTE"/>
      </w:pPr>
      <w:bookmarkStart w:id="42" w:name="_4cwqn1ivoh53" w:colFirst="0" w:colLast="0"/>
      <w:bookmarkEnd w:id="42"/>
      <w:r>
        <w:rPr>
          <w:vertAlign w:val="superscript"/>
        </w:rPr>
        <w:footnoteRef/>
      </w:r>
      <w:r>
        <w:t xml:space="preserve"> </w:t>
      </w:r>
      <w:hyperlink r:id="rId1">
        <w:r>
          <w:rPr>
            <w:color w:val="1155CC"/>
            <w:u w:val="single"/>
          </w:rPr>
          <w:t>https://www.overleaf.com/read/rnfjxkknksnd</w:t>
        </w:r>
      </w:hyperlink>
      <w:r>
        <w:t xml:space="preserve"> </w:t>
      </w:r>
      <w:r w:rsidR="007A72C8">
        <w:t>.</w:t>
      </w:r>
    </w:p>
    <w:bookmarkStart w:id="43" w:name="_sgd50bmgoxrs" w:colFirst="0" w:colLast="0"/>
    <w:bookmarkEnd w:id="43"/>
  </w:footnote>
  <w:footnote w:id="7">
    <w:p w14:paraId="62FB7C2A" w14:textId="2435A3AE" w:rsidR="00115216" w:rsidRDefault="00D82DA7" w:rsidP="001833A2">
      <w:pPr>
        <w:pStyle w:val="FIAFOOTNOTE"/>
      </w:pPr>
      <w:bookmarkStart w:id="44" w:name="_sgd50bmgoxrs" w:colFirst="0" w:colLast="0"/>
      <w:bookmarkEnd w:id="44"/>
      <w:r>
        <w:rPr>
          <w:vertAlign w:val="superscript"/>
        </w:rPr>
        <w:footnoteRef/>
      </w:r>
      <w:r>
        <w:t xml:space="preserve"> </w:t>
      </w:r>
      <w:hyperlink r:id="rId2">
        <w:r>
          <w:rPr>
            <w:color w:val="1155CC"/>
            <w:u w:val="single"/>
          </w:rPr>
          <w:t>https://github.com/willdfonseca/fia2020</w:t>
        </w:r>
      </w:hyperlink>
      <w:r>
        <w:t xml:space="preserve"> </w:t>
      </w:r>
      <w:r w:rsidR="007A72C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091A8BCC" w:rsidR="00115216" w:rsidRDefault="00B812EF">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436A953A">
              <wp:simplePos x="0" y="0"/>
              <wp:positionH relativeFrom="page">
                <wp:posOffset>647700</wp:posOffset>
              </wp:positionH>
              <wp:positionV relativeFrom="page">
                <wp:posOffset>697865</wp:posOffset>
              </wp:positionV>
              <wp:extent cx="6264000" cy="19050"/>
              <wp:effectExtent l="0" t="0" r="0" b="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0F671492" id="_x0000_t32" coordsize="21600,21600" o:spt="32" o:oned="t" path="m,l21600,21600e" filled="f">
              <v:path arrowok="t" fillok="f" o:connecttype="none"/>
              <o:lock v:ext="edit" shapetype="t"/>
            </v:shapetype>
            <v:shape id="Conector de Seta Reta 1" o:spid="_x0000_s1026" type="#_x0000_t32" style="position:absolute;margin-left:51pt;margin-top:54.9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" strokecolor="#5fc9e1">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Instruções e modelo de artigo para o FIA 2020/22 e XXIX Sobrac</w:t>
    </w:r>
    <w:r w:rsidR="00D82DA7">
      <w:rPr>
        <w:sz w:val="18"/>
        <w:szCs w:val="18"/>
      </w:rPr>
      <w:tab/>
    </w:r>
    <w:r w:rsidR="00D82DA7">
      <w:rPr>
        <w:sz w:val="18"/>
        <w:szCs w:val="18"/>
      </w:rPr>
      <w:tab/>
      <w:t xml:space="preserve">          </w:t>
    </w:r>
    <w:r>
      <w:rPr>
        <w:sz w:val="18"/>
        <w:szCs w:val="18"/>
      </w:rPr>
      <w:t xml:space="preserve"> </w:t>
    </w:r>
    <w:r w:rsidR="00D82DA7">
      <w:rPr>
        <w:sz w:val="18"/>
        <w:szCs w:val="18"/>
      </w:rPr>
      <w:t xml:space="preserve">  </w:t>
    </w:r>
    <w:r>
      <w:rPr>
        <w:sz w:val="18"/>
        <w:szCs w:val="18"/>
      </w:rPr>
      <w:t xml:space="preserve"> </w:t>
    </w:r>
    <w:r w:rsidR="00D82DA7">
      <w:rPr>
        <w:sz w:val="18"/>
        <w:szCs w:val="18"/>
      </w:rPr>
      <w:t xml:space="preserve">    FIA 2020/22 | XXIX Sobrac</w:t>
    </w:r>
    <w:r>
      <w:rPr>
        <w:sz w:val="18"/>
        <w:szCs w:val="18"/>
      </w:rPr>
      <w:t xml:space="preserve"> </w:t>
    </w:r>
    <w:r w:rsidR="00D82DA7">
      <w:rPr>
        <w:sz w:val="18"/>
        <w:szCs w:val="18"/>
      </w:rPr>
      <w:t xml:space="preserve"> </w:t>
    </w:r>
    <w:r w:rsidR="00D82DA7">
      <w:rPr>
        <w:noProof/>
        <w:sz w:val="18"/>
        <w:szCs w:val="18"/>
      </w:rPr>
      <w:drawing>
        <wp:inline distT="114300" distB="114300" distL="114300" distR="114300" wp14:anchorId="7B0DB4E0" wp14:editId="57E0F919">
          <wp:extent cx="280268" cy="216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0DB9F9A4" w:rsidR="00115216" w:rsidRPr="00B812EF" w:rsidRDefault="00B812EF">
    <w:r>
      <w:rPr>
        <w:noProof/>
        <w:sz w:val="18"/>
        <w:szCs w:val="18"/>
      </w:rPr>
      <mc:AlternateContent>
        <mc:Choice Requires="wps">
          <w:drawing>
            <wp:anchor distT="0" distB="0" distL="114300" distR="114300" simplePos="0" relativeHeight="251658240" behindDoc="0" locked="0" layoutInCell="1" hidden="0" allowOverlap="1" wp14:anchorId="1DF934F4" wp14:editId="4FDC070A">
              <wp:simplePos x="0" y="0"/>
              <wp:positionH relativeFrom="page">
                <wp:posOffset>647700</wp:posOffset>
              </wp:positionH>
              <wp:positionV relativeFrom="page">
                <wp:posOffset>679450</wp:posOffset>
              </wp:positionV>
              <wp:extent cx="6263640" cy="19050"/>
              <wp:effectExtent l="0" t="0" r="0" b="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1F2AA4A0" id="_x0000_t32" coordsize="21600,21600" o:spt="32" o:oned="t" path="m,l21600,21600e" filled="f">
              <v:path arrowok="t" fillok="f" o:connecttype="none"/>
              <o:lock v:ext="edit" shapetype="t"/>
            </v:shapetype>
            <v:shape id="Conector de Seta Reta 2" o:spid="_x0000_s1026" type="#_x0000_t32" style="position:absolute;margin-left:51pt;margin-top:53.5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" strokecolor="#5fc9e1">
              <w10:wrap anchorx="page" anchory="page"/>
            </v:shape>
          </w:pict>
        </mc:Fallback>
      </mc:AlternateContent>
    </w:r>
    <w:r>
      <w:t xml:space="preserve"> </w:t>
    </w:r>
    <w:r>
      <w:br/>
    </w:r>
    <w:r w:rsidR="00D82DA7">
      <w:rPr>
        <w:noProof/>
        <w:sz w:val="18"/>
        <w:szCs w:val="18"/>
      </w:rPr>
      <w:drawing>
        <wp:inline distT="114300" distB="114300" distL="114300" distR="114300" wp14:anchorId="6CC11A82" wp14:editId="4722D2AE">
          <wp:extent cx="280268" cy="216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r>
      <w:t xml:space="preserve"> </w:t>
    </w:r>
    <w:r w:rsidR="00D82DA7">
      <w:rPr>
        <w:sz w:val="18"/>
        <w:szCs w:val="18"/>
      </w:rPr>
      <w:t xml:space="preserve"> FIA 2020/22 | XXIX Sobrac                                    </w:t>
    </w:r>
    <w:r>
      <w:rPr>
        <w:sz w:val="18"/>
        <w:szCs w:val="18"/>
      </w:rPr>
      <w:t xml:space="preserve">      </w:t>
    </w:r>
    <w:r w:rsidR="00D82DA7">
      <w:rPr>
        <w:sz w:val="18"/>
        <w:szCs w:val="18"/>
      </w:rPr>
      <w:t xml:space="preserve">         Instruções e modelo de artigo para o FIA 2020/22 e XXIX 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6" w:name="_31e5pgy574tu"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5"/>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efaultTabStop w:val="720"/>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878A9"/>
    <w:rsid w:val="00096D00"/>
    <w:rsid w:val="00115216"/>
    <w:rsid w:val="00151A94"/>
    <w:rsid w:val="00163729"/>
    <w:rsid w:val="00167503"/>
    <w:rsid w:val="001833A2"/>
    <w:rsid w:val="00346EE8"/>
    <w:rsid w:val="0035426E"/>
    <w:rsid w:val="00356B9F"/>
    <w:rsid w:val="00370480"/>
    <w:rsid w:val="00381D72"/>
    <w:rsid w:val="00383635"/>
    <w:rsid w:val="00422EBC"/>
    <w:rsid w:val="004277B4"/>
    <w:rsid w:val="0044016E"/>
    <w:rsid w:val="004417E9"/>
    <w:rsid w:val="00460D3A"/>
    <w:rsid w:val="004904F0"/>
    <w:rsid w:val="004B3B0E"/>
    <w:rsid w:val="004D614B"/>
    <w:rsid w:val="004F4586"/>
    <w:rsid w:val="0055049F"/>
    <w:rsid w:val="00556895"/>
    <w:rsid w:val="00562C9F"/>
    <w:rsid w:val="00594750"/>
    <w:rsid w:val="005C24C8"/>
    <w:rsid w:val="006313CC"/>
    <w:rsid w:val="006F5419"/>
    <w:rsid w:val="0072521A"/>
    <w:rsid w:val="007A72C8"/>
    <w:rsid w:val="007D4E32"/>
    <w:rsid w:val="00881AB9"/>
    <w:rsid w:val="00895EA2"/>
    <w:rsid w:val="008C04E2"/>
    <w:rsid w:val="008C734A"/>
    <w:rsid w:val="008D4AEF"/>
    <w:rsid w:val="00957515"/>
    <w:rsid w:val="0099619F"/>
    <w:rsid w:val="009D17EF"/>
    <w:rsid w:val="009E12EA"/>
    <w:rsid w:val="00B02A24"/>
    <w:rsid w:val="00B12F88"/>
    <w:rsid w:val="00B5024E"/>
    <w:rsid w:val="00B66DA8"/>
    <w:rsid w:val="00B812EF"/>
    <w:rsid w:val="00BA0FB0"/>
    <w:rsid w:val="00BA2B64"/>
    <w:rsid w:val="00BA5B2B"/>
    <w:rsid w:val="00BB0CB5"/>
    <w:rsid w:val="00C30897"/>
    <w:rsid w:val="00C575B7"/>
    <w:rsid w:val="00C64D48"/>
    <w:rsid w:val="00C662AC"/>
    <w:rsid w:val="00C93241"/>
    <w:rsid w:val="00C93F40"/>
    <w:rsid w:val="00CE4616"/>
    <w:rsid w:val="00CF45FC"/>
    <w:rsid w:val="00D40EFB"/>
    <w:rsid w:val="00D71B2B"/>
    <w:rsid w:val="00D72790"/>
    <w:rsid w:val="00D82DA7"/>
    <w:rsid w:val="00EF05CE"/>
    <w:rsid w:val="00F363E9"/>
    <w:rsid w:val="00F76A6C"/>
    <w:rsid w:val="00FE4BB3"/>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willdfonseca/fia2020" TargetMode="External"/><Relationship Id="rId18" Type="http://schemas.openxmlformats.org/officeDocument/2006/relationships/image" Target="media/image2.png"/><Relationship Id="rId26" Type="http://schemas.openxmlformats.org/officeDocument/2006/relationships/hyperlink" Target="http://www.fia2022.com.br" TargetMode="External"/><Relationship Id="rId39" Type="http://schemas.openxmlformats.org/officeDocument/2006/relationships/fontTable" Target="fontTable.xml"/><Relationship Id="rId21" Type="http://schemas.openxmlformats.org/officeDocument/2006/relationships/hyperlink" Target="http://www.jabref.org/" TargetMode="External"/><Relationship Id="rId34" Type="http://schemas.openxmlformats.org/officeDocument/2006/relationships/hyperlink" Target="https://www.scientific.net/AMM.751.153" TargetMode="External"/><Relationship Id="rId7" Type="http://schemas.openxmlformats.org/officeDocument/2006/relationships/endnotes" Target="endnotes.xml"/><Relationship Id="rId12" Type="http://schemas.openxmlformats.org/officeDocument/2006/relationships/hyperlink" Target="https://www.overleaf.com/read/rnfjxkknksnd" TargetMode="External"/><Relationship Id="rId17" Type="http://schemas.openxmlformats.org/officeDocument/2006/relationships/image" Target="media/image30.png"/><Relationship Id="rId25" Type="http://schemas.openxmlformats.org/officeDocument/2006/relationships/hyperlink" Target="https://www.overleaf.com/read/rnfjxkknksnd" TargetMode="External"/><Relationship Id="rId33" Type="http://schemas.openxmlformats.org/officeDocument/2006/relationships/hyperlink" Target="https://bit.ly/Modelagem-daabsorcao-acustica-de-camadas-porosas-asfalticas" TargetMode="External"/><Relationship Id="rId38" Type="http://schemas.openxmlformats.org/officeDocument/2006/relationships/hyperlink" Target="http://dx.doi.org/10.55753/aev.v31e48.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overleaf.com/read/rszcxtwshz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fia2022.com.br" TargetMode="External"/><Relationship Id="rId32" Type="http://schemas.openxmlformats.org/officeDocument/2006/relationships/hyperlink" Target="http://www.bu.ufsc.br/teses/PEMC1445-T.pdf" TargetMode="External"/><Relationship Id="rId37" Type="http://schemas.openxmlformats.org/officeDocument/2006/relationships/hyperlink" Target="https://doi.org/10.1016/j.conbuildmat.2017.11.07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sa.scitation.org/pb-assets/files/publications/jas/Acoustics_PACS-1548697226033.pdf" TargetMode="External"/><Relationship Id="rId23" Type="http://schemas.openxmlformats.org/officeDocument/2006/relationships/hyperlink" Target="https://www.zotero.org/" TargetMode="External"/><Relationship Id="rId28" Type="http://schemas.openxmlformats.org/officeDocument/2006/relationships/hyperlink" Target="https://www.overleaf.com/read/rnfjxkknksnd" TargetMode="External"/><Relationship Id="rId36" Type="http://schemas.openxmlformats.org/officeDocument/2006/relationships/hyperlink" Target="https://doi.org/10.1016/j.jsv.2018.11.03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willdfonseca/fia2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ubs.aip.org/DocumentLibrary/files/publications/jasa/Acoustics_PACS.pdf" TargetMode="External"/><Relationship Id="rId22" Type="http://schemas.openxmlformats.org/officeDocument/2006/relationships/hyperlink" Target="http://www.mendeley.com" TargetMode="External"/><Relationship Id="rId27" Type="http://schemas.openxmlformats.org/officeDocument/2006/relationships/hyperlink" Target="https://www.overleaf.com/read/rnfjxkknksnd" TargetMode="External"/><Relationship Id="rId30" Type="http://schemas.openxmlformats.org/officeDocument/2006/relationships/hyperlink" Target="https://www.overleaf.com/read/hgryywpgmxdx" TargetMode="External"/><Relationship Id="rId35" Type="http://schemas.openxmlformats.org/officeDocument/2006/relationships/hyperlink" Target="http://www.aes.org/elib/browse.cfm?elib=1018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willdfonseca/fia2020" TargetMode="External"/><Relationship Id="rId1" Type="http://schemas.openxmlformats.org/officeDocument/2006/relationships/hyperlink" Target="https://www.overleaf.com/read/rnfjxkknks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5029</Words>
  <Characters>27112</Characters>
  <Application>Microsoft Office Word</Application>
  <DocSecurity>0</DocSecurity>
  <Lines>467</Lines>
  <Paragraphs>142</Paragraphs>
  <ScaleCrop>false</ScaleCrop>
  <Company/>
  <LinksUpToDate>false</LinksUpToDate>
  <CharactersWithSpaces>31999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2024-01-06T11:51:00Z</dcterms:created>
  <dcterms:modified xsi:type="dcterms:W3CDTF">2024-01-09T13:53:00Z</dcterms:modified>
</cp:coreProperties>
</file>