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9DE6B" w14:textId="596BDB63" w:rsidR="00D41274" w:rsidRPr="0071275B" w:rsidRDefault="004D1C40" w:rsidP="00FA6751">
      <w:pPr>
        <w:pStyle w:val="IEEETitle"/>
      </w:pPr>
      <w:r w:rsidRPr="004D1C40">
        <w:t>Predicting Portuguese Secondary-School Achievement: An Integrated Data-Mining Study</w:t>
      </w:r>
    </w:p>
    <w:p w14:paraId="4B666951" w14:textId="7C25D9BC" w:rsidR="00D41274" w:rsidRPr="002162BB" w:rsidRDefault="004D1C40" w:rsidP="00D41274">
      <w:pPr>
        <w:pStyle w:val="IEEEAuthorName"/>
      </w:pPr>
      <w:r>
        <w:t>Will Marschall</w:t>
      </w:r>
      <w:r>
        <w:rPr>
          <w:vertAlign w:val="superscript"/>
        </w:rPr>
        <w:t>*</w:t>
      </w:r>
      <w:r w:rsidR="00D41274" w:rsidRPr="002162BB">
        <w:rPr>
          <w:vertAlign w:val="superscript"/>
        </w:rPr>
        <w:t>1</w:t>
      </w:r>
      <w:r w:rsidR="00D41274" w:rsidRPr="002162BB">
        <w:t xml:space="preserve">, </w:t>
      </w:r>
      <w:r>
        <w:t>Matthew Martin</w:t>
      </w:r>
      <w:r w:rsidR="00371309">
        <w:rPr>
          <w:vertAlign w:val="superscript"/>
        </w:rPr>
        <w:t xml:space="preserve"> </w:t>
      </w:r>
      <w:r>
        <w:rPr>
          <w:vertAlign w:val="superscript"/>
        </w:rPr>
        <w:t>*</w:t>
      </w:r>
      <w:r w:rsidR="00D41274" w:rsidRPr="002162BB">
        <w:rPr>
          <w:vertAlign w:val="superscript"/>
        </w:rPr>
        <w:t>2</w:t>
      </w:r>
      <w:r w:rsidR="00D41274" w:rsidRPr="002162BB">
        <w:t xml:space="preserve">, </w:t>
      </w:r>
      <w:r>
        <w:t>Porter Jurica</w:t>
      </w:r>
      <w:r w:rsidR="00371309">
        <w:rPr>
          <w:vertAlign w:val="superscript"/>
        </w:rPr>
        <w:t xml:space="preserve"> </w:t>
      </w:r>
      <w:r>
        <w:rPr>
          <w:vertAlign w:val="superscript"/>
        </w:rPr>
        <w:t>*</w:t>
      </w:r>
      <w:r w:rsidR="00D41274" w:rsidRPr="002162BB">
        <w:rPr>
          <w:vertAlign w:val="superscript"/>
        </w:rPr>
        <w:t>3</w:t>
      </w:r>
    </w:p>
    <w:p w14:paraId="32E315FA" w14:textId="267F04B7" w:rsidR="00D41274" w:rsidRPr="0071275B" w:rsidRDefault="00371309" w:rsidP="00371309">
      <w:pPr>
        <w:pStyle w:val="IEEEAuthorAffiliation"/>
      </w:pPr>
      <w:r>
        <w:rPr>
          <w:vertAlign w:val="superscript"/>
        </w:rPr>
        <w:t xml:space="preserve"># </w:t>
      </w:r>
      <w:r w:rsidR="004D1C40">
        <w:t>School of Engineering and Applied Science</w:t>
      </w:r>
      <w:r w:rsidR="00D41274" w:rsidRPr="0071275B">
        <w:t xml:space="preserve">, </w:t>
      </w:r>
      <w:r w:rsidR="004D1C40">
        <w:t>University of Virginia</w:t>
      </w:r>
      <w:r w:rsidR="00D41274">
        <w:br w:type="textWrapping" w:clear="all"/>
      </w:r>
      <w:r w:rsidR="004D1C40">
        <w:t>Charlottesville, Virginia 22904</w:t>
      </w:r>
    </w:p>
    <w:p w14:paraId="4CCEF195" w14:textId="2FFFDCD8" w:rsidR="00D41274" w:rsidRDefault="00371309" w:rsidP="00371309">
      <w:pPr>
        <w:pStyle w:val="IEEEAuthorEmail"/>
      </w:pPr>
      <w:r>
        <w:rPr>
          <w:vertAlign w:val="superscript"/>
        </w:rPr>
        <w:t xml:space="preserve">1 </w:t>
      </w:r>
      <w:r w:rsidR="004D1C40">
        <w:t>fmb8ek</w:t>
      </w:r>
      <w:r w:rsidR="004E78E3">
        <w:t>@</w:t>
      </w:r>
      <w:r w:rsidR="004D1C40">
        <w:t>virginia</w:t>
      </w:r>
      <w:r w:rsidR="004E78E3">
        <w:t>.edu</w:t>
      </w:r>
    </w:p>
    <w:p w14:paraId="41616397" w14:textId="251CA2C2" w:rsidR="004D1C40" w:rsidRPr="004D1C40" w:rsidRDefault="004D1C40" w:rsidP="004D1C40">
      <w:pPr>
        <w:pStyle w:val="IEEEAuthorEmail"/>
      </w:pPr>
      <w:r>
        <w:rPr>
          <w:vertAlign w:val="superscript"/>
        </w:rPr>
        <w:t>2</w:t>
      </w:r>
      <w:r>
        <w:rPr>
          <w:vertAlign w:val="superscript"/>
        </w:rPr>
        <w:t xml:space="preserve"> </w:t>
      </w:r>
      <w:r w:rsidRPr="004D1C40">
        <w:t>vhs6gh</w:t>
      </w:r>
      <w:r>
        <w:t>@virginia.edu</w:t>
      </w:r>
    </w:p>
    <w:p w14:paraId="3A16D232" w14:textId="5BC502AD" w:rsidR="00D41274" w:rsidRDefault="00371309" w:rsidP="00371309">
      <w:pPr>
        <w:pStyle w:val="IEEEAuthorEmail"/>
      </w:pPr>
      <w:r>
        <w:rPr>
          <w:vertAlign w:val="superscript"/>
        </w:rPr>
        <w:t xml:space="preserve">3 </w:t>
      </w:r>
      <w:r w:rsidR="004D1C40" w:rsidRPr="004D1C40">
        <w:t>wwk7ja</w:t>
      </w:r>
      <w:r w:rsidR="004E78E3">
        <w:t>@</w:t>
      </w:r>
      <w:r w:rsidR="004D1C40">
        <w:t>virginia</w:t>
      </w:r>
      <w:r w:rsidR="004E78E3">
        <w:t>.edu</w:t>
      </w:r>
    </w:p>
    <w:p w14:paraId="7381C14C" w14:textId="77777777" w:rsidR="00D41274" w:rsidRPr="00D41274" w:rsidRDefault="00D41274" w:rsidP="00D41274"/>
    <w:p w14:paraId="53E1878E" w14:textId="77777777" w:rsidR="00D41274" w:rsidRDefault="00D41274">
      <w:pPr>
        <w:sectPr w:rsidR="00D41274" w:rsidSect="00375171">
          <w:pgSz w:w="12240" w:h="15840" w:code="1"/>
          <w:pgMar w:top="1080" w:right="979" w:bottom="1440" w:left="979" w:header="706" w:footer="706" w:gutter="0"/>
          <w:cols w:space="708"/>
          <w:docGrid w:linePitch="360"/>
        </w:sectPr>
      </w:pPr>
    </w:p>
    <w:p w14:paraId="0E1A31AC" w14:textId="157ACB9C" w:rsidR="00D41274" w:rsidRPr="002162BB" w:rsidRDefault="00D41274" w:rsidP="004B0A0B">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w:t>
      </w:r>
      <w:r w:rsidR="004B0A0B" w:rsidRPr="004B0A0B">
        <w:rPr>
          <w:lang w:val="en-AU"/>
        </w:rPr>
        <w:t xml:space="preserve">Timely detection of students who are drifting toward course failure allows schools to intervene when support is still inexpensive and effective, yet existing models often trade interpretability for marginal accuracy gains and seldom examine the behavioural heterogeneity that underlies equal interim grades. To address both </w:t>
      </w:r>
      <w:proofErr w:type="gramStart"/>
      <w:r w:rsidR="004B0A0B" w:rsidRPr="004B0A0B">
        <w:rPr>
          <w:lang w:val="en-AU"/>
        </w:rPr>
        <w:t>limitations</w:t>
      </w:r>
      <w:proofErr w:type="gramEnd"/>
      <w:r w:rsidR="004B0A0B" w:rsidRPr="004B0A0B">
        <w:rPr>
          <w:lang w:val="en-AU"/>
        </w:rPr>
        <w:t xml:space="preserve"> we synthetically reconstructed the well-known Portuguese “Student Performance” corpus (n = 649, 33 variables), preserving first- and second-order moments within ±2 % while elim</w:t>
      </w:r>
      <w:r w:rsidR="004B0A0B" w:rsidRPr="004B0A0B">
        <w:rPr>
          <w:rFonts w:hint="eastAsia"/>
          <w:lang w:val="en-AU"/>
        </w:rPr>
        <w:t>inating re-identification risk, and released the full pipeline under an open DOI. Ordinary least-squares regression showed that the second-term mark G2 alone explains 85 % of final-term variance (</w:t>
      </w:r>
      <w:r w:rsidR="004B0A0B" w:rsidRPr="004B0A0B">
        <w:rPr>
          <w:rFonts w:hint="eastAsia"/>
          <w:lang w:val="en-AU"/>
        </w:rPr>
        <w:t>β</w:t>
      </w:r>
      <w:r w:rsidR="004B0A0B" w:rsidRPr="004B0A0B">
        <w:rPr>
          <w:rFonts w:hint="eastAsia"/>
          <w:lang w:val="en-AU"/>
        </w:rPr>
        <w:t xml:space="preserve"> </w:t>
      </w:r>
      <w:r w:rsidR="004B0A0B" w:rsidRPr="004B0A0B">
        <w:rPr>
          <w:rFonts w:hint="eastAsia"/>
          <w:lang w:val="en-AU"/>
        </w:rPr>
        <w:t>≈</w:t>
      </w:r>
      <w:r w:rsidR="004B0A0B" w:rsidRPr="004B0A0B">
        <w:rPr>
          <w:rFonts w:hint="eastAsia"/>
          <w:lang w:val="en-AU"/>
        </w:rPr>
        <w:t xml:space="preserve"> 0.92), and a single-predictor logistic model classified </w:t>
      </w:r>
      <w:r w:rsidR="004B0A0B" w:rsidRPr="004B0A0B">
        <w:rPr>
          <w:lang w:val="en-AU"/>
        </w:rPr>
        <w:t xml:space="preserve">pass versus fail with 93 % hold-out accuracy and a 2 % false-negative rate, confirming that academic momentum is the dominant risk signal. To illuminate why students with similar grades diverge, we applied k-means (k = 3, silhouette = 0.31) to standardised academic and lifestyle attributes, revealing “Solid Performers,” “Social Butterflies,” and an “At-Risk” cohort distinguished chiefly by absences and alcohol consumption. Cluster membership enriches the narrative without materially improving prediction, underscoring the virtue of parsimony: simple linear models are sufficient for early warning, while unsupervised profiles supply actionable context for tailored intervention. The combined predictive-profiling framework therefore delivers both statistical precision and practical guidance, and the openly shared synthetic dataset enables direct replication and extension in privacy-sensitive educational </w:t>
      </w:r>
      <w:r w:rsidR="004B0A0B" w:rsidRPr="004B0A0B">
        <w:rPr>
          <w:lang w:val="en-AU"/>
        </w:rPr>
        <w:t>settings.</w:t>
      </w:r>
    </w:p>
    <w:p w14:paraId="2C72C7F6" w14:textId="02AA2404" w:rsidR="00850AFE" w:rsidRDefault="00AD335D" w:rsidP="00850AFE">
      <w:pPr>
        <w:pStyle w:val="IEEEHeading1"/>
      </w:pPr>
      <w:r>
        <w:t>Introduction</w:t>
      </w:r>
      <w:r w:rsidR="004D1C40">
        <w:t xml:space="preserve"> to the Dataset</w:t>
      </w:r>
    </w:p>
    <w:p w14:paraId="7CC14E60" w14:textId="0D4BD923" w:rsidR="00850AFE" w:rsidRDefault="00850AFE" w:rsidP="00850AFE">
      <w:pPr>
        <w:pStyle w:val="IEEEHeading2"/>
        <w:numPr>
          <w:ilvl w:val="0"/>
          <w:numId w:val="4"/>
        </w:numPr>
      </w:pPr>
      <w:r>
        <w:t>Origin and Purpose</w:t>
      </w:r>
    </w:p>
    <w:p w14:paraId="0F565B4C" w14:textId="77777777" w:rsidR="00850AFE" w:rsidRDefault="00850AFE" w:rsidP="00850AFE">
      <w:pPr>
        <w:pStyle w:val="IEEEParagraph"/>
      </w:pPr>
      <w:r w:rsidRPr="00850AFE">
        <w:t>The dataset analysed in this study originates from the “Student Performance” surveys conducted by Paulo Cortez and Alice Silva during the 2005–2006 school year in two public secondary schools in northern Portugal. Their original objective was to investigate how demographic, familial and behavioural factors influence academic achievement and to supply an openly accessible benchmark for educational data-mining research [1</w:t>
      </w:r>
      <w:r>
        <w:t>]</w:t>
      </w:r>
    </w:p>
    <w:p w14:paraId="3611B8DB" w14:textId="2F4089DE" w:rsidR="00850AFE" w:rsidRPr="00850AFE" w:rsidRDefault="00850AFE" w:rsidP="00850AFE">
      <w:pPr>
        <w:pStyle w:val="IEEEHeading2"/>
        <w:numPr>
          <w:ilvl w:val="0"/>
          <w:numId w:val="4"/>
        </w:numPr>
        <w:rPr>
          <w:iCs/>
        </w:rPr>
      </w:pPr>
      <w:r w:rsidRPr="00850AFE">
        <w:rPr>
          <w:iCs/>
        </w:rPr>
        <w:t>Synthetic Reconstruction</w:t>
      </w:r>
    </w:p>
    <w:p w14:paraId="1C92D8F9" w14:textId="7EF91E70" w:rsidR="00850AFE" w:rsidRDefault="00850AFE" w:rsidP="00850AFE">
      <w:pPr>
        <w:pStyle w:val="IEEEParagraph"/>
      </w:pPr>
      <w:r>
        <w:t xml:space="preserve">To satisfy contemporary privacy regulations while preserving the empirical relationships needed for modelling, the public UCI files were regenerated in June 2025. The regeneration pipeline first drew 1 000 stratified bootstrap samples conditioned on course, school and final grade. A Gaussian-copula perturbation then adjusted each variable so that the regenerated file matched the means, variances and pair-wise Pearson correlations of the source data to within ±2 %. Finally, mild </w:t>
      </w:r>
      <w:proofErr w:type="spellStart"/>
      <w:r>
        <w:t>Winsorisation</w:t>
      </w:r>
      <w:proofErr w:type="spellEnd"/>
      <w:r>
        <w:t xml:space="preserve"> at the 1st and 99th percentiles reduced the risk of re-identification from extreme outliers. All scripts, an exhaustive codebook and the file student_performance_synth.csv are archived in an open GitHub repository with a permanent DOI.</w:t>
      </w:r>
    </w:p>
    <w:p w14:paraId="6B3ABE5B" w14:textId="713C59D0" w:rsidR="00850AFE" w:rsidRPr="00850AFE" w:rsidRDefault="00850AFE" w:rsidP="00850AFE">
      <w:pPr>
        <w:pStyle w:val="IEEEHeading2"/>
        <w:numPr>
          <w:ilvl w:val="0"/>
          <w:numId w:val="4"/>
        </w:numPr>
        <w:rPr>
          <w:iCs/>
        </w:rPr>
      </w:pPr>
      <w:r w:rsidRPr="00850AFE">
        <w:rPr>
          <w:iCs/>
        </w:rPr>
        <w:t>Content and Collection Context</w:t>
      </w:r>
    </w:p>
    <w:p w14:paraId="38EE0E80" w14:textId="6FE2E54D" w:rsidR="00850AFE" w:rsidRDefault="00850AFE" w:rsidP="00850AFE">
      <w:pPr>
        <w:pStyle w:val="IEEEParagraph"/>
      </w:pPr>
      <w:r>
        <w:t>The analytic file contains 649 pupils described by 33 variables that span demographic attributes (sex, age, parental education and occupation), study conditions (weekly study time, paid tutoring, internet access), behavioural indicators (absences, weekday and weekend alcohol consumption, frequency of social outings, self-reported health) and the sequential grades G1, G2 and G3 recorded on the Portuguese 0–20 scale. Because the underlying survey instrument was administered in northern Portugal, cultural and curricular context remains embedded in the data even after synthesis, limiting external validity to broadly similar educational environments</w:t>
      </w:r>
      <w:r>
        <w:t>.</w:t>
      </w:r>
    </w:p>
    <w:p w14:paraId="153FB85E" w14:textId="321DF922" w:rsidR="00850AFE" w:rsidRPr="00850AFE" w:rsidRDefault="00850AFE" w:rsidP="00850AFE">
      <w:pPr>
        <w:pStyle w:val="IEEEHeading2"/>
        <w:numPr>
          <w:ilvl w:val="0"/>
          <w:numId w:val="4"/>
        </w:numPr>
        <w:rPr>
          <w:iCs/>
        </w:rPr>
      </w:pPr>
      <w:r w:rsidRPr="00850AFE">
        <w:rPr>
          <w:iCs/>
        </w:rPr>
        <w:t xml:space="preserve">Consequences for Inference </w:t>
      </w:r>
    </w:p>
    <w:p w14:paraId="301A2FED" w14:textId="10D6A334" w:rsidR="00FB6859" w:rsidRPr="00D2572E" w:rsidRDefault="00850AFE" w:rsidP="00850AFE">
      <w:pPr>
        <w:pStyle w:val="IEEEParagraph"/>
      </w:pPr>
      <w:r>
        <w:t>Preservation of first- and second-order moments ensures that linear relations—most notably the near-deterministic link between G2 and G3—remain trustworthy. However, extreme tail behaviour is slightly compressed, so estimates of very high or very low risk are likely to be conservative. The synthetic design also precludes re-identification, allowing the present study to share executable code and full data without restriction and thereby fostering reproducibility</w:t>
      </w:r>
      <w:r w:rsidR="004D1C40" w:rsidRPr="004D1C40">
        <w:t>.</w:t>
      </w:r>
    </w:p>
    <w:p w14:paraId="68C779B3" w14:textId="439DECB7" w:rsidR="00081EBE" w:rsidRDefault="004D1C40" w:rsidP="00081EBE">
      <w:pPr>
        <w:pStyle w:val="IEEEHeading1"/>
      </w:pPr>
      <w:r w:rsidRPr="004D1C40">
        <w:t>Research Question and Problem Statement</w:t>
      </w:r>
    </w:p>
    <w:p w14:paraId="2D0B45C6" w14:textId="77777777" w:rsidR="00850AFE" w:rsidRDefault="00850AFE" w:rsidP="00D47F46">
      <w:pPr>
        <w:pStyle w:val="IEEEHeading2"/>
        <w:numPr>
          <w:ilvl w:val="0"/>
          <w:numId w:val="17"/>
        </w:numPr>
      </w:pPr>
      <w:r>
        <w:t>Origin and Purpose</w:t>
      </w:r>
    </w:p>
    <w:p w14:paraId="13F61A8E" w14:textId="4314C583" w:rsidR="00850AFE" w:rsidRDefault="00850AFE" w:rsidP="00850AFE">
      <w:pPr>
        <w:pStyle w:val="IEEEParagraph"/>
      </w:pPr>
      <w:r>
        <w:t xml:space="preserve">This project asks, first, how early in the academic year educators can identify students who are likely to fail their course, </w:t>
      </w:r>
      <w:proofErr w:type="gramStart"/>
      <w:r>
        <w:t>and,</w:t>
      </w:r>
      <w:proofErr w:type="gramEnd"/>
      <w:r>
        <w:t xml:space="preserve"> second, whether unsupervised pattern discovery</w:t>
      </w:r>
      <w:r>
        <w:t xml:space="preserve"> </w:t>
      </w:r>
      <w:r>
        <w:t>can reveal actionable differences among students whose interim grades appear similar</w:t>
      </w:r>
      <w:r>
        <w:t>.</w:t>
      </w:r>
    </w:p>
    <w:p w14:paraId="67564C24" w14:textId="2180717B" w:rsidR="00850AFE" w:rsidRPr="00D47F46" w:rsidRDefault="00850AFE" w:rsidP="00D47F46">
      <w:pPr>
        <w:pStyle w:val="IEEEHeading2"/>
        <w:numPr>
          <w:ilvl w:val="0"/>
          <w:numId w:val="17"/>
        </w:numPr>
        <w:rPr>
          <w:iCs/>
        </w:rPr>
      </w:pPr>
      <w:r w:rsidRPr="00D47F46">
        <w:rPr>
          <w:iCs/>
        </w:rPr>
        <w:t>Synthetic Reconstruction</w:t>
      </w:r>
    </w:p>
    <w:p w14:paraId="6C8A597F" w14:textId="699D2809" w:rsidR="00850AFE" w:rsidRDefault="00850AFE" w:rsidP="00850AFE">
      <w:pPr>
        <w:pStyle w:val="IEEEParagraph"/>
      </w:pPr>
      <w:r>
        <w:t xml:space="preserve">Early-warning systems are vital because timely intervention costs less and succeeds more often than remediation after failure has occurred. Long-run economic studies show substantial wage penalties for early school failure [2], making accurate and interpretable prediction a policy priority. Moreover, grade-only screens risk overlooking </w:t>
      </w:r>
      <w:proofErr w:type="spellStart"/>
      <w:r>
        <w:t>sociobehavioural</w:t>
      </w:r>
      <w:proofErr w:type="spellEnd"/>
      <w:r>
        <w:t xml:space="preserve"> pathways through which achievement diverges; understanding those pathways allows interventions to be tailored rather than generic.</w:t>
      </w:r>
    </w:p>
    <w:p w14:paraId="77A6C25A" w14:textId="4733CDF3" w:rsidR="00850AFE" w:rsidRDefault="00850AFE" w:rsidP="00D47F46">
      <w:pPr>
        <w:pStyle w:val="IEEEHeading2"/>
        <w:numPr>
          <w:ilvl w:val="0"/>
          <w:numId w:val="17"/>
        </w:numPr>
      </w:pPr>
      <w:r>
        <w:t>State of the Literature</w:t>
      </w:r>
    </w:p>
    <w:p w14:paraId="537AFA6B" w14:textId="77777777" w:rsidR="00850AFE" w:rsidRDefault="00850AFE" w:rsidP="00850AFE">
      <w:pPr>
        <w:pStyle w:val="IEEEParagraph"/>
      </w:pPr>
      <w:r>
        <w:t>Multiple investigations of the original Cortez &amp; Silva corpus have reported that interim grades dominate predictive power. Logistic regression, decision-tree and random-forest models routinely achieve accuracies above 90 % when G1 and G2 are available [3], and European multi-institution replications corroborate this result [4]. Yet scholars remain divided on why students with comparable interim marks sometimes separate sharply by year’s end; attempts to include attendance, alcohol consumption or parental education have yielded inconsistent effect sizes. Outside Portugal, Erkan et al. clustered a Turkish high-school cohort and identified lifestyle-based segments that were not apparent from grades alone [5], but that study did not connect cluster membership to formal predictive models.</w:t>
      </w:r>
    </w:p>
    <w:p w14:paraId="1C356611" w14:textId="45666D9B" w:rsidR="00850AFE" w:rsidRDefault="00850AFE" w:rsidP="00D47F46">
      <w:pPr>
        <w:pStyle w:val="IEEEHeading2"/>
        <w:numPr>
          <w:ilvl w:val="0"/>
          <w:numId w:val="17"/>
        </w:numPr>
      </w:pPr>
      <w:r>
        <w:t>Gap Addressed by the Present Study</w:t>
      </w:r>
    </w:p>
    <w:p w14:paraId="4794BDF7" w14:textId="2DE9B0A7" w:rsidR="00FA6751" w:rsidRPr="00FA6751" w:rsidRDefault="00850AFE" w:rsidP="00D47F46">
      <w:pPr>
        <w:pStyle w:val="IEEEParagraph"/>
        <w:ind w:firstLine="288"/>
      </w:pPr>
      <w:r>
        <w:t>By integrating supervised prediction and unsupervised profiling in a single workflow, this research both benchmarks early-warning accuracy and explores the behavioural heterogeneity that standard grade models leave unexplained. The synthetic reconstruction further allows full code and data release, enabling others to test alternative algorithms or replicate findings in other contexts</w:t>
      </w:r>
      <w:r w:rsidR="00D47F46">
        <w:t>.</w:t>
      </w:r>
    </w:p>
    <w:p w14:paraId="09C480E5" w14:textId="6DF4C880" w:rsidR="008E5996" w:rsidRDefault="004D1C40" w:rsidP="004E452A">
      <w:pPr>
        <w:pStyle w:val="IEEEHeading1"/>
      </w:pPr>
      <w:r w:rsidRPr="004D1C40">
        <w:t>Research Methods</w:t>
      </w:r>
    </w:p>
    <w:p w14:paraId="6034B01B" w14:textId="3EC3551E" w:rsidR="00D47F46" w:rsidRPr="00D47F46" w:rsidRDefault="00D47F46" w:rsidP="00D47F46">
      <w:pPr>
        <w:pStyle w:val="IEEEHeading2"/>
        <w:numPr>
          <w:ilvl w:val="0"/>
          <w:numId w:val="18"/>
        </w:numPr>
        <w:rPr>
          <w:iCs/>
        </w:rPr>
      </w:pPr>
      <w:r w:rsidRPr="00D47F46">
        <w:rPr>
          <w:iCs/>
        </w:rPr>
        <w:t>Linking Data to Questions</w:t>
      </w:r>
    </w:p>
    <w:p w14:paraId="6054D618" w14:textId="77777777" w:rsidR="00D47F46" w:rsidRPr="00D47F46" w:rsidRDefault="00D47F46" w:rsidP="00D47F46">
      <w:pPr>
        <w:ind w:firstLine="288"/>
        <w:rPr>
          <w:sz w:val="20"/>
        </w:rPr>
      </w:pPr>
      <w:r w:rsidRPr="00D47F46">
        <w:rPr>
          <w:rFonts w:hint="eastAsia"/>
          <w:sz w:val="20"/>
        </w:rPr>
        <w:t xml:space="preserve">Because the dataset supplies a temporal ladder of grades (G1 </w:t>
      </w:r>
      <w:r w:rsidRPr="00D47F46">
        <w:rPr>
          <w:rFonts w:hint="eastAsia"/>
          <w:sz w:val="20"/>
        </w:rPr>
        <w:t>→</w:t>
      </w:r>
      <w:r w:rsidRPr="00D47F46">
        <w:rPr>
          <w:rFonts w:hint="eastAsia"/>
          <w:sz w:val="20"/>
        </w:rPr>
        <w:t xml:space="preserve"> G2 </w:t>
      </w:r>
      <w:r w:rsidRPr="00D47F46">
        <w:rPr>
          <w:rFonts w:hint="eastAsia"/>
          <w:sz w:val="20"/>
        </w:rPr>
        <w:t>→</w:t>
      </w:r>
      <w:r w:rsidRPr="00D47F46">
        <w:rPr>
          <w:rFonts w:hint="eastAsia"/>
          <w:sz w:val="20"/>
        </w:rPr>
        <w:t xml:space="preserve"> G3) together with rich behavioural covariates, it is well suited to addressing both the timing and the mechanism of academic risk. Continuous modelling of G3 quantifies how early predictio</w:t>
      </w:r>
      <w:r w:rsidRPr="00D47F46">
        <w:rPr>
          <w:sz w:val="20"/>
        </w:rPr>
        <w:t>n can occur, while binary pass/fail classification provides a policy-relevant threshold. Clustering the same feature set offers a complementary, explanatory lens on behavioural profiles.</w:t>
      </w:r>
    </w:p>
    <w:p w14:paraId="54AC558E" w14:textId="48BED32F" w:rsidR="00D47F46" w:rsidRPr="00D47F46" w:rsidRDefault="00D47F46" w:rsidP="00D47F46">
      <w:pPr>
        <w:pStyle w:val="IEEEHeading2"/>
        <w:numPr>
          <w:ilvl w:val="0"/>
          <w:numId w:val="18"/>
        </w:numPr>
      </w:pPr>
      <w:r w:rsidRPr="00D47F46">
        <w:t>Analytical Strategy</w:t>
      </w:r>
    </w:p>
    <w:p w14:paraId="725AF90E" w14:textId="77777777" w:rsidR="00D47F46" w:rsidRPr="00D47F46" w:rsidRDefault="00D47F46" w:rsidP="00D47F46">
      <w:pPr>
        <w:ind w:firstLine="720"/>
        <w:rPr>
          <w:sz w:val="20"/>
        </w:rPr>
      </w:pPr>
      <w:r w:rsidRPr="00D47F46">
        <w:rPr>
          <w:sz w:val="20"/>
        </w:rPr>
        <w:t>All models are trained on a 70 % chronological split and evaluated on the most recent 30 %, mirroring the forward-looking nature of real-time risk detection. Categorical variables are one-hot encoded; numeric predictors are median-imputed and z-standardised. Model diagnostics include residual plots, variance-inflation factors and, for classifiers, the Hosmer–</w:t>
      </w:r>
      <w:proofErr w:type="spellStart"/>
      <w:r w:rsidRPr="00D47F46">
        <w:rPr>
          <w:sz w:val="20"/>
        </w:rPr>
        <w:t>Lemeshow</w:t>
      </w:r>
      <w:proofErr w:type="spellEnd"/>
      <w:r w:rsidRPr="00D47F46">
        <w:rPr>
          <w:sz w:val="20"/>
        </w:rPr>
        <w:t xml:space="preserve"> test.</w:t>
      </w:r>
    </w:p>
    <w:p w14:paraId="52918D82" w14:textId="5C37621D" w:rsidR="008E5996" w:rsidRPr="00D47F46" w:rsidRDefault="00D47F46" w:rsidP="00D47F46">
      <w:pPr>
        <w:pStyle w:val="IEEEHeading2"/>
        <w:numPr>
          <w:ilvl w:val="0"/>
          <w:numId w:val="18"/>
        </w:numPr>
      </w:pPr>
      <w:r w:rsidRPr="00D47F46">
        <w:t>Techniques Considered and Their Outcomes</w:t>
      </w:r>
    </w:p>
    <w:p w14:paraId="643B7F2B" w14:textId="78431AAF" w:rsidR="00273D2C" w:rsidRDefault="00527D56" w:rsidP="00527D56">
      <w:pPr>
        <w:pStyle w:val="IEEETableCaption"/>
      </w:pPr>
      <w:r>
        <w:t xml:space="preserve">TABLE </w:t>
      </w:r>
      <w:r>
        <w:fldChar w:fldCharType="begin"/>
      </w:r>
      <w:r>
        <w:instrText xml:space="preserve"> SEQ TABLE \* ROMAN </w:instrText>
      </w:r>
      <w:r>
        <w:fldChar w:fldCharType="separate"/>
      </w:r>
      <w:r w:rsidR="008830FC">
        <w:rPr>
          <w:noProof/>
        </w:rPr>
        <w:t>I</w:t>
      </w:r>
      <w:r>
        <w:fldChar w:fldCharType="end"/>
      </w:r>
      <w:r>
        <w:br w:type="textWrapping" w:clear="all"/>
      </w:r>
      <w:r w:rsidR="00D47F46" w:rsidRPr="00D47F46">
        <w:t>Analytical Techniques, Novelty and Empirical Yield</w:t>
      </w:r>
    </w:p>
    <w:tbl>
      <w:tblPr>
        <w:tblW w:w="5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4"/>
        <w:gridCol w:w="1002"/>
        <w:gridCol w:w="888"/>
        <w:gridCol w:w="822"/>
        <w:gridCol w:w="1158"/>
      </w:tblGrid>
      <w:tr w:rsidR="00C232A8" w14:paraId="6B2F041C" w14:textId="4BBF682E" w:rsidTr="005C4B6C">
        <w:trPr>
          <w:trHeight w:val="324"/>
          <w:jc w:val="center"/>
        </w:trPr>
        <w:tc>
          <w:tcPr>
            <w:tcW w:w="1164" w:type="dxa"/>
            <w:vMerge w:val="restart"/>
          </w:tcPr>
          <w:p w14:paraId="3B0B84A6" w14:textId="7E15B846" w:rsidR="00C232A8" w:rsidRPr="00C012E1" w:rsidRDefault="00C232A8" w:rsidP="0070575A">
            <w:pPr>
              <w:pStyle w:val="IEEETableHeaderLeft-Justified"/>
            </w:pPr>
            <w:r w:rsidRPr="00C232A8">
              <w:t>Technique</w:t>
            </w:r>
          </w:p>
        </w:tc>
        <w:tc>
          <w:tcPr>
            <w:tcW w:w="3870" w:type="dxa"/>
            <w:gridSpan w:val="4"/>
          </w:tcPr>
          <w:p w14:paraId="090C8069" w14:textId="3B43D967" w:rsidR="00C232A8" w:rsidRPr="00C012E1" w:rsidRDefault="00016FCA" w:rsidP="0070575A">
            <w:pPr>
              <w:pStyle w:val="IEEETableHeaderCentred"/>
            </w:pPr>
            <w:r>
              <w:t>Response Attributes</w:t>
            </w:r>
          </w:p>
        </w:tc>
      </w:tr>
      <w:tr w:rsidR="00C232A8" w14:paraId="595A7BFA" w14:textId="3FA6EB80" w:rsidTr="00016FCA">
        <w:trPr>
          <w:trHeight w:val="791"/>
          <w:jc w:val="center"/>
        </w:trPr>
        <w:tc>
          <w:tcPr>
            <w:tcW w:w="1164" w:type="dxa"/>
            <w:vMerge/>
          </w:tcPr>
          <w:p w14:paraId="05BD943F" w14:textId="77777777" w:rsidR="00C232A8" w:rsidRPr="006F3F50" w:rsidRDefault="00C232A8" w:rsidP="0070575A">
            <w:pPr>
              <w:pStyle w:val="IEEETableCell"/>
              <w:rPr>
                <w:b/>
                <w:bCs/>
              </w:rPr>
            </w:pPr>
          </w:p>
        </w:tc>
        <w:tc>
          <w:tcPr>
            <w:tcW w:w="1002" w:type="dxa"/>
          </w:tcPr>
          <w:p w14:paraId="54ECE1EB" w14:textId="47ADEC96" w:rsidR="00C232A8" w:rsidRPr="00C012E1" w:rsidRDefault="005B2226" w:rsidP="0070575A">
            <w:pPr>
              <w:pStyle w:val="IEEETableHeaderLeft-Justified"/>
            </w:pPr>
            <w:r w:rsidRPr="005B2226">
              <w:t>New vs. [1]</w:t>
            </w:r>
          </w:p>
        </w:tc>
        <w:tc>
          <w:tcPr>
            <w:tcW w:w="888" w:type="dxa"/>
          </w:tcPr>
          <w:p w14:paraId="58B64E00" w14:textId="77777777" w:rsidR="00C232A8" w:rsidRPr="00C232A8" w:rsidRDefault="00C232A8" w:rsidP="00C232A8">
            <w:pPr>
              <w:rPr>
                <w:b/>
                <w:bCs/>
                <w:sz w:val="18"/>
              </w:rPr>
            </w:pPr>
            <w:r w:rsidRPr="00C232A8">
              <w:rPr>
                <w:b/>
                <w:bCs/>
                <w:sz w:val="18"/>
              </w:rPr>
              <w:t>Implemented?</w:t>
            </w:r>
          </w:p>
          <w:p w14:paraId="1EA3D495" w14:textId="1FC16116" w:rsidR="00C232A8" w:rsidRPr="00C012E1" w:rsidRDefault="00C232A8" w:rsidP="0070575A">
            <w:pPr>
              <w:pStyle w:val="IEEETableHeaderLeft-Justified"/>
            </w:pPr>
          </w:p>
        </w:tc>
        <w:tc>
          <w:tcPr>
            <w:tcW w:w="822" w:type="dxa"/>
          </w:tcPr>
          <w:p w14:paraId="0E1F144D" w14:textId="7C6FA8A6" w:rsidR="00C232A8" w:rsidRPr="00C232A8" w:rsidRDefault="00C232A8" w:rsidP="00C232A8">
            <w:pPr>
              <w:rPr>
                <w:b/>
                <w:bCs/>
                <w:sz w:val="18"/>
              </w:rPr>
            </w:pPr>
            <w:r w:rsidRPr="00C232A8">
              <w:rPr>
                <w:b/>
                <w:bCs/>
                <w:sz w:val="18"/>
              </w:rPr>
              <w:t>Yielded</w:t>
            </w:r>
            <w:r w:rsidR="005B2226">
              <w:rPr>
                <w:b/>
                <w:bCs/>
                <w:sz w:val="18"/>
              </w:rPr>
              <w:t xml:space="preserve"> </w:t>
            </w:r>
            <w:r w:rsidRPr="00C232A8">
              <w:rPr>
                <w:b/>
                <w:bCs/>
                <w:sz w:val="18"/>
              </w:rPr>
              <w:t>story?</w:t>
            </w:r>
          </w:p>
        </w:tc>
        <w:tc>
          <w:tcPr>
            <w:tcW w:w="1158" w:type="dxa"/>
          </w:tcPr>
          <w:p w14:paraId="01A55F8D" w14:textId="6E38E452" w:rsidR="00C232A8" w:rsidRPr="00C232A8" w:rsidRDefault="00C232A8" w:rsidP="00C232A8">
            <w:pPr>
              <w:rPr>
                <w:b/>
                <w:bCs/>
                <w:sz w:val="18"/>
              </w:rPr>
            </w:pPr>
            <w:r w:rsidRPr="00C232A8">
              <w:rPr>
                <w:b/>
                <w:bCs/>
                <w:sz w:val="18"/>
              </w:rPr>
              <w:t>Primary insight</w:t>
            </w:r>
          </w:p>
        </w:tc>
      </w:tr>
      <w:tr w:rsidR="00C232A8" w14:paraId="35E3CD3C" w14:textId="404F53BA" w:rsidTr="00016FCA">
        <w:trPr>
          <w:trHeight w:val="980"/>
          <w:jc w:val="center"/>
        </w:trPr>
        <w:tc>
          <w:tcPr>
            <w:tcW w:w="1164" w:type="dxa"/>
          </w:tcPr>
          <w:p w14:paraId="31A1CA0C" w14:textId="77777777" w:rsidR="00C232A8" w:rsidRPr="00C232A8" w:rsidRDefault="00C232A8" w:rsidP="00C232A8">
            <w:pPr>
              <w:rPr>
                <w:sz w:val="18"/>
              </w:rPr>
            </w:pPr>
            <w:r w:rsidRPr="00C232A8">
              <w:rPr>
                <w:sz w:val="18"/>
              </w:rPr>
              <w:t>Ordinary least squares on G3</w:t>
            </w:r>
          </w:p>
          <w:p w14:paraId="7F5313E3" w14:textId="69396178" w:rsidR="00C232A8" w:rsidRDefault="00C232A8" w:rsidP="00C232A8">
            <w:pPr>
              <w:pStyle w:val="IEEETableCell"/>
            </w:pPr>
          </w:p>
        </w:tc>
        <w:tc>
          <w:tcPr>
            <w:tcW w:w="1002" w:type="dxa"/>
          </w:tcPr>
          <w:p w14:paraId="494FD8A6" w14:textId="5C3B3C61" w:rsidR="00C232A8" w:rsidRDefault="00C232A8" w:rsidP="00C232A8">
            <w:pPr>
              <w:pStyle w:val="IEEETableCell"/>
            </w:pPr>
            <w:r w:rsidRPr="00C232A8">
              <w:t>Repetition</w:t>
            </w:r>
          </w:p>
        </w:tc>
        <w:tc>
          <w:tcPr>
            <w:tcW w:w="888" w:type="dxa"/>
          </w:tcPr>
          <w:p w14:paraId="17372C74" w14:textId="716C5D40"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822" w:type="dxa"/>
          </w:tcPr>
          <w:p w14:paraId="3AB110F1" w14:textId="38AC7CC1"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1158" w:type="dxa"/>
          </w:tcPr>
          <w:p w14:paraId="3E4BE68E" w14:textId="49FD21B4" w:rsidR="00C232A8" w:rsidRDefault="00016FCA" w:rsidP="00C232A8">
            <w:pPr>
              <w:pStyle w:val="IEEETableCell"/>
            </w:pPr>
            <w:r w:rsidRPr="00016FCA">
              <w:rPr>
                <w:rFonts w:hint="eastAsia"/>
              </w:rPr>
              <w:t>Academic momentum holds (</w:t>
            </w:r>
            <w:r w:rsidRPr="00016FCA">
              <w:rPr>
                <w:rFonts w:hint="eastAsia"/>
              </w:rPr>
              <w:t>β</w:t>
            </w:r>
            <w:r w:rsidRPr="00016FCA">
              <w:rPr>
                <w:rFonts w:hint="eastAsia"/>
              </w:rPr>
              <w:t xml:space="preserve"> </w:t>
            </w:r>
            <w:r w:rsidRPr="00016FCA">
              <w:rPr>
                <w:rFonts w:hint="eastAsia"/>
              </w:rPr>
              <w:t>≈</w:t>
            </w:r>
            <w:r w:rsidRPr="00016FCA">
              <w:rPr>
                <w:rFonts w:hint="eastAsia"/>
              </w:rPr>
              <w:t xml:space="preserve"> 0.92, R</w:t>
            </w:r>
            <w:r w:rsidRPr="00016FCA">
              <w:rPr>
                <w:rFonts w:hint="eastAsia"/>
              </w:rPr>
              <w:t>²</w:t>
            </w:r>
            <w:r w:rsidRPr="00016FCA">
              <w:rPr>
                <w:rFonts w:hint="eastAsia"/>
              </w:rPr>
              <w:t xml:space="preserve"> </w:t>
            </w:r>
            <w:r w:rsidRPr="00016FCA">
              <w:rPr>
                <w:rFonts w:hint="eastAsia"/>
              </w:rPr>
              <w:t>≈</w:t>
            </w:r>
            <w:r w:rsidRPr="00016FCA">
              <w:rPr>
                <w:rFonts w:hint="eastAsia"/>
              </w:rPr>
              <w:t xml:space="preserve"> 0.85).</w:t>
            </w:r>
          </w:p>
        </w:tc>
      </w:tr>
      <w:tr w:rsidR="00C232A8" w14:paraId="4BA59D43" w14:textId="00D8AEAE" w:rsidTr="00016FCA">
        <w:trPr>
          <w:trHeight w:val="1007"/>
          <w:jc w:val="center"/>
        </w:trPr>
        <w:tc>
          <w:tcPr>
            <w:tcW w:w="1164" w:type="dxa"/>
          </w:tcPr>
          <w:p w14:paraId="1AF8F718" w14:textId="77777777" w:rsidR="00C232A8" w:rsidRPr="00C232A8" w:rsidRDefault="00C232A8" w:rsidP="00C232A8">
            <w:pPr>
              <w:rPr>
                <w:sz w:val="18"/>
              </w:rPr>
            </w:pPr>
            <w:r w:rsidRPr="00C232A8">
              <w:rPr>
                <w:sz w:val="18"/>
              </w:rPr>
              <w:t>Logistic regression (pass/fail)</w:t>
            </w:r>
          </w:p>
          <w:p w14:paraId="7F454EE9" w14:textId="180C66EA" w:rsidR="00C232A8" w:rsidRDefault="00C232A8" w:rsidP="00C232A8">
            <w:pPr>
              <w:pStyle w:val="IEEETableCell"/>
            </w:pPr>
          </w:p>
        </w:tc>
        <w:tc>
          <w:tcPr>
            <w:tcW w:w="1002" w:type="dxa"/>
          </w:tcPr>
          <w:p w14:paraId="6012B071" w14:textId="601592E4" w:rsidR="00C232A8" w:rsidRPr="00C232A8" w:rsidRDefault="00C232A8" w:rsidP="00C232A8">
            <w:pPr>
              <w:rPr>
                <w:sz w:val="18"/>
              </w:rPr>
            </w:pPr>
            <w:r w:rsidRPr="00C232A8">
              <w:rPr>
                <w:sz w:val="18"/>
              </w:rPr>
              <w:t>Repetition</w:t>
            </w:r>
          </w:p>
        </w:tc>
        <w:tc>
          <w:tcPr>
            <w:tcW w:w="888" w:type="dxa"/>
          </w:tcPr>
          <w:p w14:paraId="4807D1FE" w14:textId="30BC5ACF"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822" w:type="dxa"/>
          </w:tcPr>
          <w:p w14:paraId="6F0FC92C" w14:textId="0B143154"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1158" w:type="dxa"/>
          </w:tcPr>
          <w:p w14:paraId="13B1FB91" w14:textId="7DD82818" w:rsidR="00C232A8" w:rsidRDefault="00016FCA" w:rsidP="00C232A8">
            <w:pPr>
              <w:pStyle w:val="IEEETableCell"/>
            </w:pPr>
            <w:r w:rsidRPr="00016FCA">
              <w:rPr>
                <w:rFonts w:hint="eastAsia"/>
              </w:rPr>
              <w:t xml:space="preserve">93 % accuracy, ROC 0.98 </w:t>
            </w:r>
            <w:r w:rsidRPr="00016FCA">
              <w:rPr>
                <w:rFonts w:hint="eastAsia"/>
              </w:rPr>
              <w:t>→</w:t>
            </w:r>
            <w:r w:rsidRPr="00016FCA">
              <w:rPr>
                <w:rFonts w:hint="eastAsia"/>
              </w:rPr>
              <w:t xml:space="preserve"> a single-grade cutoff is enough.</w:t>
            </w:r>
          </w:p>
        </w:tc>
      </w:tr>
      <w:tr w:rsidR="00C232A8" w14:paraId="4BE00569" w14:textId="2E0C9F8D" w:rsidTr="00016FCA">
        <w:trPr>
          <w:trHeight w:val="683"/>
          <w:jc w:val="center"/>
        </w:trPr>
        <w:tc>
          <w:tcPr>
            <w:tcW w:w="1164" w:type="dxa"/>
          </w:tcPr>
          <w:p w14:paraId="6DDF56ED" w14:textId="77777777" w:rsidR="00C232A8" w:rsidRPr="00C232A8" w:rsidRDefault="00C232A8" w:rsidP="00C232A8">
            <w:pPr>
              <w:rPr>
                <w:sz w:val="18"/>
              </w:rPr>
            </w:pPr>
            <w:r w:rsidRPr="00C232A8">
              <w:rPr>
                <w:sz w:val="18"/>
              </w:rPr>
              <w:t>K-means clustering (k = 3)</w:t>
            </w:r>
          </w:p>
          <w:p w14:paraId="2B8EEBFB" w14:textId="2383D3A7" w:rsidR="00C232A8" w:rsidRDefault="00C232A8" w:rsidP="00C232A8">
            <w:pPr>
              <w:pStyle w:val="IEEETableCell"/>
            </w:pPr>
          </w:p>
        </w:tc>
        <w:tc>
          <w:tcPr>
            <w:tcW w:w="1002" w:type="dxa"/>
          </w:tcPr>
          <w:p w14:paraId="05131DBF" w14:textId="794F0AD1" w:rsidR="00C232A8" w:rsidRDefault="00C232A8" w:rsidP="00C232A8">
            <w:pPr>
              <w:pStyle w:val="IEEETableCell"/>
            </w:pPr>
            <w:r w:rsidRPr="00C232A8">
              <w:t>New</w:t>
            </w:r>
          </w:p>
        </w:tc>
        <w:tc>
          <w:tcPr>
            <w:tcW w:w="888" w:type="dxa"/>
          </w:tcPr>
          <w:p w14:paraId="4968CA41" w14:textId="08B8D4DA"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822" w:type="dxa"/>
          </w:tcPr>
          <w:p w14:paraId="3D178F44" w14:textId="58E4A49E" w:rsidR="00C232A8" w:rsidRPr="00BE186D" w:rsidRDefault="002E39C5" w:rsidP="00C232A8">
            <w:pPr>
              <w:pStyle w:val="IEEETableCell"/>
              <w:rPr>
                <w:color w:val="4EA72E" w:themeColor="accent6"/>
              </w:rPr>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p>
        </w:tc>
        <w:tc>
          <w:tcPr>
            <w:tcW w:w="1158" w:type="dxa"/>
          </w:tcPr>
          <w:p w14:paraId="3551BA34" w14:textId="2D206D34" w:rsidR="00C232A8" w:rsidRDefault="00016FCA" w:rsidP="00C232A8">
            <w:pPr>
              <w:pStyle w:val="IEEETableCell"/>
            </w:pPr>
            <w:r w:rsidRPr="00016FCA">
              <w:t>k-means (k = 3) yields “Solid”, “Social”, “At-risk” archetypes (absences &amp; alcohol).</w:t>
            </w:r>
          </w:p>
        </w:tc>
      </w:tr>
      <w:tr w:rsidR="00C232A8" w14:paraId="47E407A5" w14:textId="1B613426" w:rsidTr="00016FCA">
        <w:trPr>
          <w:trHeight w:val="347"/>
          <w:jc w:val="center"/>
        </w:trPr>
        <w:tc>
          <w:tcPr>
            <w:tcW w:w="1164" w:type="dxa"/>
          </w:tcPr>
          <w:p w14:paraId="007842F3" w14:textId="77777777" w:rsidR="00C232A8" w:rsidRPr="00C232A8" w:rsidRDefault="00C232A8" w:rsidP="00C232A8">
            <w:pPr>
              <w:rPr>
                <w:sz w:val="18"/>
              </w:rPr>
            </w:pPr>
            <w:r w:rsidRPr="00C232A8">
              <w:rPr>
                <w:sz w:val="18"/>
              </w:rPr>
              <w:t>Hierarchical agglomerative clustering</w:t>
            </w:r>
          </w:p>
          <w:p w14:paraId="6C3C6196" w14:textId="004E33F8" w:rsidR="00C232A8" w:rsidRDefault="00C232A8" w:rsidP="00C232A8">
            <w:pPr>
              <w:pStyle w:val="IEEETableCell"/>
            </w:pPr>
          </w:p>
        </w:tc>
        <w:tc>
          <w:tcPr>
            <w:tcW w:w="1002" w:type="dxa"/>
          </w:tcPr>
          <w:p w14:paraId="6378AC87" w14:textId="1157F84F" w:rsidR="00C232A8" w:rsidRDefault="00C232A8" w:rsidP="00C232A8">
            <w:pPr>
              <w:pStyle w:val="IEEETableCell"/>
            </w:pPr>
            <w:r w:rsidRPr="00C232A8">
              <w:t>New</w:t>
            </w:r>
          </w:p>
        </w:tc>
        <w:tc>
          <w:tcPr>
            <w:tcW w:w="888" w:type="dxa"/>
          </w:tcPr>
          <w:p w14:paraId="277FACC2" w14:textId="1269E360" w:rsidR="00C232A8" w:rsidRDefault="002E39C5" w:rsidP="00C232A8">
            <w:pPr>
              <w:pStyle w:val="IEEETableCell"/>
            </w:pPr>
            <w:r w:rsidRPr="002E39C5">
              <w:t>Yes</w:t>
            </w:r>
            <w:r>
              <w:rPr>
                <w:rFonts w:ascii="Segoe UI Symbol" w:hAnsi="Segoe UI Symbol" w:cs="Segoe UI Symbol"/>
              </w:rPr>
              <w:t xml:space="preserve"> </w:t>
            </w:r>
            <w:r w:rsidR="00C232A8" w:rsidRPr="00BE186D">
              <w:rPr>
                <w:rFonts w:ascii="Segoe UI Symbol" w:hAnsi="Segoe UI Symbol" w:cs="Segoe UI Symbol"/>
                <w:color w:val="4EA72E" w:themeColor="accent6"/>
              </w:rPr>
              <w:t>✔</w:t>
            </w:r>
            <w:r w:rsidR="00C232A8" w:rsidRPr="00BE186D">
              <w:rPr>
                <w:color w:val="4EA72E" w:themeColor="accent6"/>
              </w:rPr>
              <w:t xml:space="preserve"> </w:t>
            </w:r>
            <w:r w:rsidR="00C232A8" w:rsidRPr="00B16151">
              <w:t>(exploratory)</w:t>
            </w:r>
          </w:p>
        </w:tc>
        <w:tc>
          <w:tcPr>
            <w:tcW w:w="822" w:type="dxa"/>
          </w:tcPr>
          <w:p w14:paraId="68134FA9" w14:textId="2B228533" w:rsidR="00C232A8" w:rsidRPr="00BE186D" w:rsidRDefault="002E39C5" w:rsidP="00C232A8">
            <w:pPr>
              <w:pStyle w:val="IEEETableCell"/>
              <w:rPr>
                <w:color w:val="EE0000"/>
              </w:rPr>
            </w:pPr>
            <w:r>
              <w:t xml:space="preserve">No </w:t>
            </w:r>
            <w:r w:rsidR="00C232A8" w:rsidRPr="00BE186D">
              <w:rPr>
                <w:rFonts w:ascii="Segoe UI Symbol" w:hAnsi="Segoe UI Symbol" w:cs="Segoe UI Symbol"/>
                <w:color w:val="EE0000"/>
              </w:rPr>
              <w:t>✖</w:t>
            </w:r>
          </w:p>
        </w:tc>
        <w:tc>
          <w:tcPr>
            <w:tcW w:w="1158" w:type="dxa"/>
          </w:tcPr>
          <w:p w14:paraId="7B1A4A10" w14:textId="2C86F508" w:rsidR="00C232A8" w:rsidRDefault="00016FCA" w:rsidP="00C232A8">
            <w:pPr>
              <w:pStyle w:val="IEEETableCell"/>
            </w:pPr>
            <w:r w:rsidRPr="00016FCA">
              <w:t>Mean silhouette &lt; 0.25, so clusters are weak but acceptable.</w:t>
            </w:r>
          </w:p>
        </w:tc>
      </w:tr>
      <w:tr w:rsidR="00C232A8" w14:paraId="2AE41557" w14:textId="3A984F79" w:rsidTr="00016FCA">
        <w:trPr>
          <w:trHeight w:val="324"/>
          <w:jc w:val="center"/>
        </w:trPr>
        <w:tc>
          <w:tcPr>
            <w:tcW w:w="1164" w:type="dxa"/>
          </w:tcPr>
          <w:p w14:paraId="12062B72" w14:textId="463E2C63" w:rsidR="00C232A8" w:rsidRPr="00C232A8" w:rsidRDefault="009E6B23" w:rsidP="00C232A8">
            <w:pPr>
              <w:rPr>
                <w:sz w:val="18"/>
              </w:rPr>
            </w:pPr>
            <w:r w:rsidRPr="009E6B23">
              <w:rPr>
                <w:sz w:val="18"/>
              </w:rPr>
              <w:t>GBM regression</w:t>
            </w:r>
          </w:p>
        </w:tc>
        <w:tc>
          <w:tcPr>
            <w:tcW w:w="1002" w:type="dxa"/>
          </w:tcPr>
          <w:p w14:paraId="11BD7A7A" w14:textId="6595A21B" w:rsidR="00C232A8" w:rsidRDefault="00C232A8" w:rsidP="00C232A8">
            <w:pPr>
              <w:pStyle w:val="IEEETableCell"/>
            </w:pPr>
            <w:r w:rsidRPr="00C232A8">
              <w:t>New</w:t>
            </w:r>
          </w:p>
        </w:tc>
        <w:tc>
          <w:tcPr>
            <w:tcW w:w="888" w:type="dxa"/>
          </w:tcPr>
          <w:p w14:paraId="2D10476E" w14:textId="7531CBA2" w:rsidR="00C232A8" w:rsidRDefault="002E39C5" w:rsidP="00C232A8">
            <w:pPr>
              <w:pStyle w:val="IEEETableCell"/>
            </w:pPr>
            <w:r w:rsidRPr="002E39C5">
              <w:t>Yes</w:t>
            </w:r>
            <w:r>
              <w:rPr>
                <w:rFonts w:ascii="Segoe UI Symbol" w:hAnsi="Segoe UI Symbol" w:cs="Segoe UI Symbol"/>
              </w:rPr>
              <w:t xml:space="preserve"> </w:t>
            </w:r>
            <w:r w:rsidR="005C4B6C" w:rsidRPr="005C4B6C">
              <w:rPr>
                <w:rFonts w:ascii="Segoe UI Symbol" w:hAnsi="Segoe UI Symbol" w:cs="Segoe UI Symbol"/>
                <w:color w:val="4EA72E"/>
              </w:rPr>
              <w:t>✔</w:t>
            </w:r>
          </w:p>
        </w:tc>
        <w:tc>
          <w:tcPr>
            <w:tcW w:w="822" w:type="dxa"/>
          </w:tcPr>
          <w:p w14:paraId="649107C6" w14:textId="62EF4D9A" w:rsidR="00C232A8" w:rsidRDefault="002E39C5" w:rsidP="00C232A8">
            <w:pPr>
              <w:pStyle w:val="IEEETableCell"/>
            </w:pPr>
            <w:r w:rsidRPr="002E39C5">
              <w:t>Yes</w:t>
            </w:r>
            <w:r>
              <w:rPr>
                <w:rFonts w:ascii="Segoe UI Symbol" w:hAnsi="Segoe UI Symbol" w:cs="Segoe UI Symbol"/>
              </w:rPr>
              <w:t xml:space="preserve"> </w:t>
            </w:r>
            <w:r w:rsidR="005C4B6C" w:rsidRPr="005C4B6C">
              <w:rPr>
                <w:rFonts w:ascii="Segoe UI Symbol" w:hAnsi="Segoe UI Symbol" w:cs="Segoe UI Symbol"/>
                <w:color w:val="4EA72E"/>
              </w:rPr>
              <w:t>✔</w:t>
            </w:r>
          </w:p>
        </w:tc>
        <w:tc>
          <w:tcPr>
            <w:tcW w:w="1158" w:type="dxa"/>
          </w:tcPr>
          <w:p w14:paraId="002D9660" w14:textId="17A8222D" w:rsidR="00C232A8" w:rsidRDefault="00016FCA" w:rsidP="00C232A8">
            <w:pPr>
              <w:pStyle w:val="IEEETableCell"/>
            </w:pPr>
            <w:r w:rsidRPr="00016FCA">
              <w:rPr>
                <w:rFonts w:hint="eastAsia"/>
              </w:rPr>
              <w:t xml:space="preserve">RMSE </w:t>
            </w:r>
            <w:r w:rsidRPr="00016FCA">
              <w:rPr>
                <w:rFonts w:hint="eastAsia"/>
              </w:rPr>
              <w:t>≈</w:t>
            </w:r>
            <w:r w:rsidRPr="00016FCA">
              <w:rPr>
                <w:rFonts w:hint="eastAsia"/>
              </w:rPr>
              <w:t xml:space="preserve"> 1.72, same as OLS </w:t>
            </w:r>
            <w:r w:rsidRPr="00016FCA">
              <w:rPr>
                <w:rFonts w:hint="eastAsia"/>
              </w:rPr>
              <w:t>→</w:t>
            </w:r>
            <w:r w:rsidRPr="00016FCA">
              <w:rPr>
                <w:rFonts w:hint="eastAsia"/>
              </w:rPr>
              <w:t xml:space="preserve"> little non-linear gain.</w:t>
            </w:r>
          </w:p>
        </w:tc>
      </w:tr>
    </w:tbl>
    <w:p w14:paraId="0E192C2E" w14:textId="3E14E4DC" w:rsidR="00D47F46" w:rsidRPr="00D47F46" w:rsidRDefault="00D47F46" w:rsidP="00D47F46">
      <w:pPr>
        <w:pStyle w:val="IEEEHeading2"/>
        <w:numPr>
          <w:ilvl w:val="0"/>
          <w:numId w:val="18"/>
        </w:numPr>
        <w:rPr>
          <w:iCs/>
        </w:rPr>
      </w:pPr>
      <w:r w:rsidRPr="00D47F46">
        <w:rPr>
          <w:iCs/>
        </w:rPr>
        <w:t>Appropriateness of Methods</w:t>
      </w:r>
    </w:p>
    <w:p w14:paraId="76C08F50" w14:textId="77777777" w:rsidR="00D47F46" w:rsidRDefault="00D47F46" w:rsidP="00D47F46">
      <w:pPr>
        <w:pStyle w:val="IEEEParagraph"/>
      </w:pPr>
      <w:r>
        <w:t xml:space="preserve">Ordinary least squares and logistic regression are ideally matched to the moderate sample size and the near-linear relationship between interim and final grades. Their transparency facilitates deployment in educational settings where stakeholders demand explanatory coefficients rather than black-box predictions. k-Means clustering is suitable for discovery because the variables were </w:t>
      </w:r>
      <w:proofErr w:type="gramStart"/>
      <w:r>
        <w:t>standardised</w:t>
      </w:r>
      <w:proofErr w:type="gramEnd"/>
      <w:r>
        <w:t xml:space="preserve"> and the elbow criterion indicated k = 3 as the most cohesive segmentation. Gradient boosting acts as a sensitivity analysis: if a flexible ensemble cannot beat the linear benchmark, simpler models suffice. Hierarchical clustering was retained during exploration to test the robustness of the unsupervised results; its ultimate rejection strengthens confidence in the k-means profiles.</w:t>
      </w:r>
    </w:p>
    <w:p w14:paraId="405F73BE" w14:textId="32AB2287" w:rsidR="00D47F46" w:rsidRDefault="00D47F46" w:rsidP="00D47F46">
      <w:pPr>
        <w:pStyle w:val="IEEEHeading2"/>
        <w:numPr>
          <w:ilvl w:val="0"/>
          <w:numId w:val="18"/>
        </w:numPr>
      </w:pPr>
      <w:r>
        <w:t>Synthesis of Methodological Insights</w:t>
      </w:r>
    </w:p>
    <w:p w14:paraId="65DA5C3C" w14:textId="769DA397" w:rsidR="00B94516" w:rsidRDefault="00D47F46" w:rsidP="00A44ABB">
      <w:pPr>
        <w:pStyle w:val="IEEEParagraph"/>
      </w:pPr>
      <w:r>
        <w:t>The joint application of predictive and descriptive techniques shows that early grades all but determine year-end success, yet behavioural clustering still contributes by flagging lifestyle patterns—especially high absence rates—that differentiate students whose grades alone would appear identical. The failure of more complex learners to improve accuracy underscores the virtue of parsimony in educational analytics, where interpretability drives practitioner uptake.</w:t>
      </w:r>
    </w:p>
    <w:p w14:paraId="3B7E3092" w14:textId="5587C462" w:rsidR="00BC17BE" w:rsidRDefault="00BC17BE" w:rsidP="00BC17BE">
      <w:pPr>
        <w:pStyle w:val="IEEEHeading1"/>
      </w:pPr>
      <w:r>
        <w:t>Project Plan</w:t>
      </w:r>
    </w:p>
    <w:p w14:paraId="7BE5D736" w14:textId="74709A48" w:rsidR="00BC17BE" w:rsidRDefault="009E6B23" w:rsidP="00C232A8">
      <w:pPr>
        <w:pStyle w:val="IEEEParagraph"/>
      </w:pPr>
      <w:r w:rsidRPr="009E6B23">
        <w:t>Weekly meetings and continuous integration on GitHub are both components of our team's agile-lite process.</w:t>
      </w:r>
      <w:r w:rsidR="00412FC6">
        <w:t xml:space="preserve"> </w:t>
      </w:r>
      <w:r w:rsidRPr="009E6B23">
        <w:t>At the start of each week, we have a 30-minute planning call when the new project manager assigns tasks, sets priorities, and updates our iMessage chat.</w:t>
      </w:r>
      <w:r w:rsidR="00412FC6">
        <w:t xml:space="preserve"> </w:t>
      </w:r>
      <w:r w:rsidRPr="009E6B23">
        <w:t>Then, code, data, and writing are submitted to a shared repository with pull-request review to guarantee that each change is documented and replicable</w:t>
      </w:r>
      <w:r w:rsidR="00EA503F" w:rsidRPr="00EA503F">
        <w:t xml:space="preserve">.  </w:t>
      </w:r>
      <w:r w:rsidRPr="009E6B23">
        <w:t>Weekly phone calls are used to identify roadblocks, and a quick Friday post-mortem documenting lessons learned is used to decide the scope of the next sprint.</w:t>
      </w:r>
      <w:r w:rsidR="00412FC6">
        <w:t xml:space="preserve"> </w:t>
      </w:r>
      <w:r w:rsidRPr="009E6B23">
        <w:t>Porter is the data lead, Will is the project manager, and Porter is also in charge of communications throughout the first sprint.  The roles, however, change to Matthew and Matt in Week 2 and to Porter and Will in Week 3, as the table below shows.  This keeps no one from being overworked and guarantees that everyone gains project management experience.</w:t>
      </w:r>
    </w:p>
    <w:p w14:paraId="021ACAF6" w14:textId="74C1EEDC" w:rsidR="00C232A8" w:rsidRDefault="00C232A8" w:rsidP="00C232A8">
      <w:pPr>
        <w:pStyle w:val="IEEETableCaption"/>
      </w:pPr>
      <w:r>
        <w:t xml:space="preserve">TABLE </w:t>
      </w:r>
      <w:r>
        <w:t>2</w:t>
      </w:r>
      <w:r>
        <w:br w:type="textWrapping" w:clear="all"/>
      </w:r>
      <w:r>
        <w:t>Project Timeline</w:t>
      </w:r>
      <w:r w:rsidR="005C4B6C">
        <w:t xml:space="preserve"> and Structure</w:t>
      </w:r>
    </w:p>
    <w:tbl>
      <w:tblPr>
        <w:tblW w:w="4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810"/>
        <w:gridCol w:w="990"/>
        <w:gridCol w:w="990"/>
        <w:gridCol w:w="720"/>
        <w:gridCol w:w="761"/>
      </w:tblGrid>
      <w:tr w:rsidR="005C4B6C" w14:paraId="6F501C19" w14:textId="31F74030" w:rsidTr="00EA503F">
        <w:trPr>
          <w:trHeight w:val="763"/>
          <w:jc w:val="center"/>
        </w:trPr>
        <w:tc>
          <w:tcPr>
            <w:tcW w:w="690" w:type="dxa"/>
          </w:tcPr>
          <w:p w14:paraId="2D39131F" w14:textId="6C75F670" w:rsidR="005C4B6C" w:rsidRPr="006F3F50" w:rsidRDefault="005C4B6C" w:rsidP="0070575A">
            <w:pPr>
              <w:pStyle w:val="IEEETableCell"/>
              <w:rPr>
                <w:b/>
                <w:bCs/>
              </w:rPr>
            </w:pPr>
            <w:r>
              <w:rPr>
                <w:b/>
                <w:bCs/>
              </w:rPr>
              <w:t>Week</w:t>
            </w:r>
          </w:p>
        </w:tc>
        <w:tc>
          <w:tcPr>
            <w:tcW w:w="810" w:type="dxa"/>
          </w:tcPr>
          <w:p w14:paraId="019F4776" w14:textId="0ADE409E" w:rsidR="005C4B6C" w:rsidRPr="00C232A8" w:rsidRDefault="005C4B6C" w:rsidP="0070575A">
            <w:pPr>
              <w:rPr>
                <w:b/>
                <w:bCs/>
                <w:sz w:val="18"/>
              </w:rPr>
            </w:pPr>
            <w:r>
              <w:rPr>
                <w:b/>
                <w:bCs/>
                <w:sz w:val="18"/>
              </w:rPr>
              <w:t>Tasks</w:t>
            </w:r>
          </w:p>
          <w:p w14:paraId="56851A03" w14:textId="77777777" w:rsidR="005C4B6C" w:rsidRPr="00C012E1" w:rsidRDefault="005C4B6C" w:rsidP="0070575A">
            <w:pPr>
              <w:pStyle w:val="IEEETableHeaderLeft-Justified"/>
            </w:pPr>
          </w:p>
        </w:tc>
        <w:tc>
          <w:tcPr>
            <w:tcW w:w="990" w:type="dxa"/>
          </w:tcPr>
          <w:p w14:paraId="4B43BC02" w14:textId="75B1CEDF" w:rsidR="005C4B6C" w:rsidRPr="00C232A8" w:rsidRDefault="005C4B6C" w:rsidP="0070575A">
            <w:pPr>
              <w:rPr>
                <w:b/>
                <w:bCs/>
                <w:sz w:val="18"/>
              </w:rPr>
            </w:pPr>
            <w:r>
              <w:rPr>
                <w:b/>
                <w:bCs/>
                <w:sz w:val="18"/>
              </w:rPr>
              <w:t>Deliverables</w:t>
            </w:r>
          </w:p>
          <w:p w14:paraId="009072A5" w14:textId="77777777" w:rsidR="005C4B6C" w:rsidRPr="00C012E1" w:rsidRDefault="005C4B6C" w:rsidP="0070575A">
            <w:pPr>
              <w:pStyle w:val="IEEETableHeaderLeft-Justified"/>
            </w:pPr>
          </w:p>
        </w:tc>
        <w:tc>
          <w:tcPr>
            <w:tcW w:w="990" w:type="dxa"/>
          </w:tcPr>
          <w:p w14:paraId="75662C7A" w14:textId="1F74090D" w:rsidR="005C4B6C" w:rsidRDefault="005C4B6C" w:rsidP="0070575A">
            <w:pPr>
              <w:rPr>
                <w:b/>
                <w:bCs/>
                <w:sz w:val="18"/>
              </w:rPr>
            </w:pPr>
            <w:r w:rsidRPr="005C4B6C">
              <w:rPr>
                <w:b/>
                <w:bCs/>
                <w:sz w:val="18"/>
              </w:rPr>
              <w:t>Project Manager</w:t>
            </w:r>
            <w:r w:rsidRPr="005C4B6C">
              <w:rPr>
                <w:b/>
                <w:bCs/>
                <w:sz w:val="18"/>
              </w:rPr>
              <w:tab/>
            </w:r>
          </w:p>
        </w:tc>
        <w:tc>
          <w:tcPr>
            <w:tcW w:w="720" w:type="dxa"/>
          </w:tcPr>
          <w:p w14:paraId="6BC5499E" w14:textId="4C934BC9" w:rsidR="005C4B6C" w:rsidRDefault="005C4B6C" w:rsidP="0070575A">
            <w:pPr>
              <w:rPr>
                <w:b/>
                <w:bCs/>
                <w:sz w:val="18"/>
              </w:rPr>
            </w:pPr>
            <w:r w:rsidRPr="005C4B6C">
              <w:rPr>
                <w:b/>
                <w:bCs/>
                <w:sz w:val="18"/>
              </w:rPr>
              <w:t>Data Lead</w:t>
            </w:r>
            <w:r w:rsidRPr="005C4B6C">
              <w:rPr>
                <w:b/>
                <w:bCs/>
                <w:sz w:val="18"/>
              </w:rPr>
              <w:tab/>
            </w:r>
          </w:p>
        </w:tc>
        <w:tc>
          <w:tcPr>
            <w:tcW w:w="761" w:type="dxa"/>
          </w:tcPr>
          <w:p w14:paraId="0AA611A3" w14:textId="0BEA730A" w:rsidR="005C4B6C" w:rsidRDefault="005C4B6C" w:rsidP="0070575A">
            <w:pPr>
              <w:rPr>
                <w:b/>
                <w:bCs/>
                <w:sz w:val="18"/>
              </w:rPr>
            </w:pPr>
            <w:r w:rsidRPr="005C4B6C">
              <w:rPr>
                <w:b/>
                <w:bCs/>
                <w:sz w:val="18"/>
              </w:rPr>
              <w:t>Communications Lead</w:t>
            </w:r>
          </w:p>
        </w:tc>
      </w:tr>
      <w:tr w:rsidR="005C4B6C" w14:paraId="3452B7D4" w14:textId="1FFF4899" w:rsidTr="00EA503F">
        <w:trPr>
          <w:trHeight w:val="1309"/>
          <w:jc w:val="center"/>
        </w:trPr>
        <w:tc>
          <w:tcPr>
            <w:tcW w:w="690" w:type="dxa"/>
          </w:tcPr>
          <w:p w14:paraId="57420D7F" w14:textId="5E8FCC0D" w:rsidR="005C4B6C" w:rsidRDefault="005C4B6C" w:rsidP="0070575A">
            <w:pPr>
              <w:pStyle w:val="IEEETableCell"/>
            </w:pPr>
            <w:r>
              <w:t>1</w:t>
            </w:r>
          </w:p>
        </w:tc>
        <w:tc>
          <w:tcPr>
            <w:tcW w:w="810" w:type="dxa"/>
          </w:tcPr>
          <w:p w14:paraId="1C0C9788" w14:textId="5C8AE45B" w:rsidR="005C4B6C" w:rsidRPr="005C4B6C" w:rsidRDefault="005C4B6C" w:rsidP="005C4B6C">
            <w:pPr>
              <w:rPr>
                <w:sz w:val="18"/>
              </w:rPr>
            </w:pPr>
            <w:r w:rsidRPr="005C4B6C">
              <w:rPr>
                <w:sz w:val="18"/>
              </w:rPr>
              <w:t>Data cleaning, baseline regression &amp; classification</w:t>
            </w:r>
          </w:p>
        </w:tc>
        <w:tc>
          <w:tcPr>
            <w:tcW w:w="990" w:type="dxa"/>
          </w:tcPr>
          <w:p w14:paraId="44B902B2" w14:textId="7B4BCF6E" w:rsidR="005C4B6C" w:rsidRPr="005C4B6C" w:rsidRDefault="005C4B6C" w:rsidP="005C4B6C">
            <w:pPr>
              <w:rPr>
                <w:sz w:val="18"/>
              </w:rPr>
            </w:pPr>
            <w:r w:rsidRPr="005C4B6C">
              <w:rPr>
                <w:sz w:val="18"/>
              </w:rPr>
              <w:t>•</w:t>
            </w:r>
            <w:r w:rsidR="00EA503F">
              <w:rPr>
                <w:sz w:val="18"/>
              </w:rPr>
              <w:t xml:space="preserve"> </w:t>
            </w:r>
            <w:r w:rsidRPr="005C4B6C">
              <w:rPr>
                <w:sz w:val="18"/>
              </w:rPr>
              <w:t>Cleaned dataset</w:t>
            </w:r>
          </w:p>
          <w:p w14:paraId="2A1E0071" w14:textId="08A94E5E" w:rsidR="005C4B6C" w:rsidRPr="005C4B6C" w:rsidRDefault="005C4B6C" w:rsidP="005C4B6C">
            <w:pPr>
              <w:rPr>
                <w:sz w:val="18"/>
              </w:rPr>
            </w:pPr>
            <w:r w:rsidRPr="005C4B6C">
              <w:rPr>
                <w:sz w:val="18"/>
              </w:rPr>
              <w:t>• Model benchmark report</w:t>
            </w:r>
          </w:p>
        </w:tc>
        <w:tc>
          <w:tcPr>
            <w:tcW w:w="990" w:type="dxa"/>
          </w:tcPr>
          <w:p w14:paraId="1F90D9C5" w14:textId="597C719E" w:rsidR="005C4B6C" w:rsidRPr="005C4B6C" w:rsidRDefault="005C4B6C" w:rsidP="005C4B6C">
            <w:pPr>
              <w:rPr>
                <w:sz w:val="18"/>
                <w:szCs w:val="18"/>
              </w:rPr>
            </w:pPr>
            <w:r w:rsidRPr="005C4B6C">
              <w:rPr>
                <w:sz w:val="18"/>
                <w:szCs w:val="18"/>
              </w:rPr>
              <w:t>Will</w:t>
            </w:r>
          </w:p>
        </w:tc>
        <w:tc>
          <w:tcPr>
            <w:tcW w:w="720" w:type="dxa"/>
          </w:tcPr>
          <w:p w14:paraId="12FF1949" w14:textId="2F8EE86C" w:rsidR="005C4B6C" w:rsidRPr="005C4B6C" w:rsidRDefault="005C4B6C" w:rsidP="005C4B6C">
            <w:pPr>
              <w:rPr>
                <w:sz w:val="18"/>
                <w:szCs w:val="18"/>
              </w:rPr>
            </w:pPr>
            <w:r>
              <w:rPr>
                <w:sz w:val="18"/>
              </w:rPr>
              <w:t>Porter</w:t>
            </w:r>
          </w:p>
        </w:tc>
        <w:tc>
          <w:tcPr>
            <w:tcW w:w="761" w:type="dxa"/>
          </w:tcPr>
          <w:p w14:paraId="5F79BA44" w14:textId="6A19418E" w:rsidR="005C4B6C" w:rsidRPr="005C4B6C" w:rsidRDefault="005C4B6C" w:rsidP="005C4B6C">
            <w:pPr>
              <w:rPr>
                <w:sz w:val="18"/>
                <w:szCs w:val="18"/>
              </w:rPr>
            </w:pPr>
            <w:r>
              <w:rPr>
                <w:sz w:val="18"/>
              </w:rPr>
              <w:t>Porter</w:t>
            </w:r>
          </w:p>
        </w:tc>
      </w:tr>
      <w:tr w:rsidR="005C4B6C" w14:paraId="61220AF6" w14:textId="5BEBBE1C" w:rsidTr="00EA503F">
        <w:trPr>
          <w:trHeight w:val="971"/>
          <w:jc w:val="center"/>
        </w:trPr>
        <w:tc>
          <w:tcPr>
            <w:tcW w:w="690" w:type="dxa"/>
          </w:tcPr>
          <w:p w14:paraId="4520C38E" w14:textId="4D940170" w:rsidR="005C4B6C" w:rsidRDefault="005C4B6C" w:rsidP="0070575A">
            <w:pPr>
              <w:pStyle w:val="IEEETableCell"/>
            </w:pPr>
            <w:r>
              <w:t>2</w:t>
            </w:r>
          </w:p>
        </w:tc>
        <w:tc>
          <w:tcPr>
            <w:tcW w:w="810" w:type="dxa"/>
          </w:tcPr>
          <w:p w14:paraId="14FAF774" w14:textId="33DFA264" w:rsidR="005C4B6C" w:rsidRPr="00C232A8" w:rsidRDefault="005C4B6C" w:rsidP="0070575A">
            <w:pPr>
              <w:rPr>
                <w:sz w:val="18"/>
              </w:rPr>
            </w:pPr>
            <w:r w:rsidRPr="005C4B6C">
              <w:rPr>
                <w:sz w:val="18"/>
              </w:rPr>
              <w:t>Clustering, feature importance analysis</w:t>
            </w:r>
          </w:p>
        </w:tc>
        <w:tc>
          <w:tcPr>
            <w:tcW w:w="990" w:type="dxa"/>
          </w:tcPr>
          <w:p w14:paraId="4AE2D52B" w14:textId="77777777" w:rsidR="005C4B6C" w:rsidRPr="005C4B6C" w:rsidRDefault="005C4B6C" w:rsidP="005C4B6C">
            <w:pPr>
              <w:rPr>
                <w:sz w:val="18"/>
              </w:rPr>
            </w:pPr>
            <w:r w:rsidRPr="005C4B6C">
              <w:rPr>
                <w:sz w:val="18"/>
              </w:rPr>
              <w:t>Cluster profiles</w:t>
            </w:r>
          </w:p>
          <w:p w14:paraId="7AF3E0F3" w14:textId="2CB93CE1" w:rsidR="005C4B6C" w:rsidRPr="005C4B6C" w:rsidRDefault="005C4B6C" w:rsidP="0070575A">
            <w:pPr>
              <w:pStyle w:val="IEEETableCell"/>
            </w:pPr>
          </w:p>
        </w:tc>
        <w:tc>
          <w:tcPr>
            <w:tcW w:w="990" w:type="dxa"/>
          </w:tcPr>
          <w:p w14:paraId="7DE9183A" w14:textId="7CDACD92" w:rsidR="005C4B6C" w:rsidRPr="005C4B6C" w:rsidRDefault="005C4B6C" w:rsidP="005C4B6C">
            <w:pPr>
              <w:rPr>
                <w:sz w:val="18"/>
              </w:rPr>
            </w:pPr>
            <w:r w:rsidRPr="005C4B6C">
              <w:rPr>
                <w:sz w:val="18"/>
              </w:rPr>
              <w:t>Matthew</w:t>
            </w:r>
          </w:p>
        </w:tc>
        <w:tc>
          <w:tcPr>
            <w:tcW w:w="720" w:type="dxa"/>
          </w:tcPr>
          <w:p w14:paraId="72536406" w14:textId="5FD27A70" w:rsidR="005C4B6C" w:rsidRPr="005C4B6C" w:rsidRDefault="005C4B6C" w:rsidP="005C4B6C">
            <w:pPr>
              <w:rPr>
                <w:sz w:val="18"/>
              </w:rPr>
            </w:pPr>
            <w:r w:rsidRPr="005C4B6C">
              <w:rPr>
                <w:sz w:val="18"/>
              </w:rPr>
              <w:t>Matt</w:t>
            </w:r>
          </w:p>
        </w:tc>
        <w:tc>
          <w:tcPr>
            <w:tcW w:w="761" w:type="dxa"/>
          </w:tcPr>
          <w:p w14:paraId="04313D3C" w14:textId="05AFBF69" w:rsidR="005C4B6C" w:rsidRPr="005C4B6C" w:rsidRDefault="005C4B6C" w:rsidP="005C4B6C">
            <w:pPr>
              <w:rPr>
                <w:sz w:val="18"/>
              </w:rPr>
            </w:pPr>
            <w:r w:rsidRPr="005C4B6C">
              <w:rPr>
                <w:sz w:val="18"/>
                <w:szCs w:val="18"/>
              </w:rPr>
              <w:t>Will</w:t>
            </w:r>
          </w:p>
        </w:tc>
      </w:tr>
      <w:tr w:rsidR="005C4B6C" w14:paraId="3CE42546" w14:textId="7006CE6E" w:rsidTr="00EA503F">
        <w:trPr>
          <w:trHeight w:val="971"/>
          <w:jc w:val="center"/>
        </w:trPr>
        <w:tc>
          <w:tcPr>
            <w:tcW w:w="690" w:type="dxa"/>
          </w:tcPr>
          <w:p w14:paraId="3D0782C6" w14:textId="4208030C" w:rsidR="005C4B6C" w:rsidRDefault="005C4B6C" w:rsidP="0070575A">
            <w:pPr>
              <w:pStyle w:val="IEEETableCell"/>
            </w:pPr>
            <w:r>
              <w:t>3</w:t>
            </w:r>
          </w:p>
        </w:tc>
        <w:tc>
          <w:tcPr>
            <w:tcW w:w="810" w:type="dxa"/>
          </w:tcPr>
          <w:p w14:paraId="6430B99F" w14:textId="4BA4B84C" w:rsidR="005C4B6C" w:rsidRPr="005C4B6C" w:rsidRDefault="005C4B6C" w:rsidP="005C4B6C">
            <w:pPr>
              <w:rPr>
                <w:sz w:val="18"/>
              </w:rPr>
            </w:pPr>
            <w:r w:rsidRPr="005C4B6C">
              <w:rPr>
                <w:sz w:val="18"/>
              </w:rPr>
              <w:t>Draft report &amp; slides, presentation practice</w:t>
            </w:r>
          </w:p>
        </w:tc>
        <w:tc>
          <w:tcPr>
            <w:tcW w:w="990" w:type="dxa"/>
          </w:tcPr>
          <w:p w14:paraId="0E0B609E" w14:textId="77777777" w:rsidR="005C4B6C" w:rsidRPr="005C4B6C" w:rsidRDefault="005C4B6C" w:rsidP="005C4B6C">
            <w:pPr>
              <w:rPr>
                <w:sz w:val="18"/>
              </w:rPr>
            </w:pPr>
            <w:r w:rsidRPr="005C4B6C">
              <w:rPr>
                <w:sz w:val="18"/>
              </w:rPr>
              <w:t>• Draft report</w:t>
            </w:r>
          </w:p>
          <w:p w14:paraId="3C4E04D8" w14:textId="65864212" w:rsidR="005C4B6C" w:rsidRPr="005C4B6C" w:rsidRDefault="005C4B6C" w:rsidP="005C4B6C">
            <w:pPr>
              <w:pStyle w:val="IEEETableCell"/>
            </w:pPr>
            <w:r w:rsidRPr="005C4B6C">
              <w:t>• Slide deck</w:t>
            </w:r>
          </w:p>
        </w:tc>
        <w:tc>
          <w:tcPr>
            <w:tcW w:w="990" w:type="dxa"/>
          </w:tcPr>
          <w:p w14:paraId="502A5589" w14:textId="410E1B84" w:rsidR="005C4B6C" w:rsidRPr="005C4B6C" w:rsidRDefault="005C4B6C" w:rsidP="005C4B6C">
            <w:pPr>
              <w:rPr>
                <w:sz w:val="18"/>
              </w:rPr>
            </w:pPr>
            <w:r>
              <w:rPr>
                <w:sz w:val="18"/>
              </w:rPr>
              <w:t>Porter</w:t>
            </w:r>
          </w:p>
        </w:tc>
        <w:tc>
          <w:tcPr>
            <w:tcW w:w="720" w:type="dxa"/>
          </w:tcPr>
          <w:p w14:paraId="0320411D" w14:textId="41543A1B" w:rsidR="005C4B6C" w:rsidRPr="005C4B6C" w:rsidRDefault="005C4B6C" w:rsidP="005C4B6C">
            <w:pPr>
              <w:rPr>
                <w:sz w:val="18"/>
              </w:rPr>
            </w:pPr>
            <w:r w:rsidRPr="005C4B6C">
              <w:rPr>
                <w:sz w:val="18"/>
                <w:szCs w:val="18"/>
              </w:rPr>
              <w:t>Will</w:t>
            </w:r>
          </w:p>
        </w:tc>
        <w:tc>
          <w:tcPr>
            <w:tcW w:w="761" w:type="dxa"/>
          </w:tcPr>
          <w:p w14:paraId="076EAEEF" w14:textId="04E24713" w:rsidR="005C4B6C" w:rsidRPr="005C4B6C" w:rsidRDefault="005C4B6C" w:rsidP="005C4B6C">
            <w:pPr>
              <w:rPr>
                <w:sz w:val="18"/>
              </w:rPr>
            </w:pPr>
            <w:r w:rsidRPr="005C4B6C">
              <w:rPr>
                <w:sz w:val="18"/>
              </w:rPr>
              <w:t>Matt</w:t>
            </w:r>
          </w:p>
        </w:tc>
      </w:tr>
      <w:tr w:rsidR="005C4B6C" w14:paraId="247F1A06" w14:textId="3C39BF8C" w:rsidTr="00EA503F">
        <w:trPr>
          <w:trHeight w:val="334"/>
          <w:jc w:val="center"/>
        </w:trPr>
        <w:tc>
          <w:tcPr>
            <w:tcW w:w="690" w:type="dxa"/>
          </w:tcPr>
          <w:p w14:paraId="411945D2" w14:textId="4869C9A3" w:rsidR="005C4B6C" w:rsidRDefault="005C4B6C" w:rsidP="0070575A">
            <w:pPr>
              <w:pStyle w:val="IEEETableCell"/>
            </w:pPr>
            <w:r>
              <w:t>4</w:t>
            </w:r>
          </w:p>
        </w:tc>
        <w:tc>
          <w:tcPr>
            <w:tcW w:w="810" w:type="dxa"/>
          </w:tcPr>
          <w:p w14:paraId="01984FE0" w14:textId="752252DC" w:rsidR="005C4B6C" w:rsidRDefault="005C4B6C" w:rsidP="0070575A">
            <w:pPr>
              <w:pStyle w:val="IEEETableCell"/>
            </w:pPr>
            <w:r w:rsidRPr="005C4B6C">
              <w:t>Final edits, presentatio</w:t>
            </w:r>
            <w:r>
              <w:t>n</w:t>
            </w:r>
          </w:p>
        </w:tc>
        <w:tc>
          <w:tcPr>
            <w:tcW w:w="990" w:type="dxa"/>
          </w:tcPr>
          <w:p w14:paraId="73531677" w14:textId="77777777" w:rsidR="005C4B6C" w:rsidRPr="005C4B6C" w:rsidRDefault="005C4B6C" w:rsidP="005C4B6C">
            <w:pPr>
              <w:rPr>
                <w:sz w:val="18"/>
              </w:rPr>
            </w:pPr>
            <w:r w:rsidRPr="005C4B6C">
              <w:rPr>
                <w:sz w:val="18"/>
              </w:rPr>
              <w:t>• Final report</w:t>
            </w:r>
          </w:p>
          <w:p w14:paraId="4B3CFBE6" w14:textId="5591C0DA" w:rsidR="005C4B6C" w:rsidRPr="005C4B6C" w:rsidRDefault="005C4B6C" w:rsidP="005C4B6C">
            <w:pPr>
              <w:rPr>
                <w:sz w:val="18"/>
              </w:rPr>
            </w:pPr>
            <w:r w:rsidRPr="005C4B6C">
              <w:rPr>
                <w:sz w:val="18"/>
              </w:rPr>
              <w:t>• Final presentation</w:t>
            </w:r>
          </w:p>
        </w:tc>
        <w:tc>
          <w:tcPr>
            <w:tcW w:w="990" w:type="dxa"/>
          </w:tcPr>
          <w:p w14:paraId="0E763B97" w14:textId="7456CBCD" w:rsidR="005C4B6C" w:rsidRPr="005C4B6C" w:rsidRDefault="005C4B6C" w:rsidP="005C4B6C">
            <w:pPr>
              <w:rPr>
                <w:sz w:val="18"/>
              </w:rPr>
            </w:pPr>
            <w:r>
              <w:rPr>
                <w:sz w:val="18"/>
              </w:rPr>
              <w:t>Porter</w:t>
            </w:r>
          </w:p>
        </w:tc>
        <w:tc>
          <w:tcPr>
            <w:tcW w:w="720" w:type="dxa"/>
          </w:tcPr>
          <w:p w14:paraId="68D8BCF6" w14:textId="62A2418C" w:rsidR="005C4B6C" w:rsidRPr="005C4B6C" w:rsidRDefault="005C4B6C" w:rsidP="005C4B6C">
            <w:pPr>
              <w:rPr>
                <w:sz w:val="18"/>
              </w:rPr>
            </w:pPr>
            <w:r w:rsidRPr="005C4B6C">
              <w:rPr>
                <w:sz w:val="18"/>
                <w:szCs w:val="18"/>
              </w:rPr>
              <w:t>Will</w:t>
            </w:r>
          </w:p>
        </w:tc>
        <w:tc>
          <w:tcPr>
            <w:tcW w:w="761" w:type="dxa"/>
          </w:tcPr>
          <w:p w14:paraId="5DD6108B" w14:textId="28B00CA8" w:rsidR="005C4B6C" w:rsidRPr="005C4B6C" w:rsidRDefault="005C4B6C" w:rsidP="005C4B6C">
            <w:pPr>
              <w:rPr>
                <w:sz w:val="18"/>
              </w:rPr>
            </w:pPr>
            <w:r w:rsidRPr="005C4B6C">
              <w:rPr>
                <w:sz w:val="18"/>
              </w:rPr>
              <w:t>Matt</w:t>
            </w:r>
          </w:p>
        </w:tc>
      </w:tr>
    </w:tbl>
    <w:p w14:paraId="1A04EAC5" w14:textId="6DF5B5ED" w:rsidR="000B171B" w:rsidRDefault="000B171B" w:rsidP="000B171B">
      <w:pPr>
        <w:pStyle w:val="IEEEHeading1"/>
      </w:pPr>
      <w:r>
        <w:t>Data A</w:t>
      </w:r>
      <w:r>
        <w:t>n</w:t>
      </w:r>
      <w:r>
        <w:t>alysis and Results</w:t>
      </w:r>
    </w:p>
    <w:p w14:paraId="7A968072" w14:textId="4F9BBF73" w:rsidR="000B171B" w:rsidRDefault="002E39C5" w:rsidP="002E39C5">
      <w:pPr>
        <w:rPr>
          <w:i/>
          <w:iCs/>
          <w:sz w:val="20"/>
        </w:rPr>
      </w:pPr>
      <w:r>
        <w:rPr>
          <w:i/>
          <w:iCs/>
          <w:sz w:val="20"/>
        </w:rPr>
        <w:t xml:space="preserve">A. </w:t>
      </w:r>
      <w:r w:rsidR="00474169" w:rsidRPr="00474169">
        <w:rPr>
          <w:i/>
          <w:iCs/>
          <w:sz w:val="20"/>
        </w:rPr>
        <w:t>Exploratory Visualisations</w:t>
      </w:r>
    </w:p>
    <w:p w14:paraId="75C315B8" w14:textId="77777777" w:rsidR="00474169" w:rsidRDefault="00474169" w:rsidP="00474169">
      <w:pPr>
        <w:rPr>
          <w:i/>
          <w:iCs/>
          <w:sz w:val="20"/>
        </w:rPr>
      </w:pPr>
    </w:p>
    <w:p w14:paraId="78222B53" w14:textId="315F42B7" w:rsidR="00474169" w:rsidRPr="000B171B" w:rsidRDefault="00474169" w:rsidP="00474169">
      <w:pPr>
        <w:rPr>
          <w:i/>
          <w:iCs/>
          <w:sz w:val="20"/>
        </w:rPr>
      </w:pPr>
      <w:r>
        <w:rPr>
          <w:i/>
          <w:iCs/>
          <w:noProof/>
          <w:sz w:val="20"/>
        </w:rPr>
      </w:r>
      <w:r>
        <w:rPr>
          <w:i/>
          <w:iCs/>
          <w:sz w:val="20"/>
        </w:rPr>
        <w:pict w14:anchorId="42986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9" type="#_x0000_t75" style="width:251.3pt;height:161.55pt;mso-left-percent:-10001;mso-top-percent:-10001;mso-position-horizontal:absolute;mso-position-horizontal-relative:char;mso-position-vertical:absolute;mso-position-vertical-relative:line;mso-left-percent:-10001;mso-top-percent:-10001">
            <v:imagedata r:id="rId6" o:title=""/>
            <w10:anchorlock/>
          </v:shape>
        </w:pict>
      </w:r>
    </w:p>
    <w:p w14:paraId="12FE9D9C" w14:textId="01EC7630" w:rsidR="002F72D0" w:rsidRDefault="002F72D0" w:rsidP="000B171B">
      <w:pPr>
        <w:pStyle w:val="IEEEFigureCaptionMulti-Lines"/>
        <w:jc w:val="center"/>
      </w:pPr>
      <w:r>
        <w:t xml:space="preserve">Fig. </w:t>
      </w:r>
      <w:fldSimple w:instr=" SEQ Fig. \* ARABIC  \* MERGEFORMAT ">
        <w:r w:rsidR="008830FC">
          <w:rPr>
            <w:noProof/>
          </w:rPr>
          <w:t>1</w:t>
        </w:r>
      </w:fldSimple>
      <w:r w:rsidR="00775C92">
        <w:t>.</w:t>
      </w:r>
      <w:r>
        <w:t xml:space="preserve">  </w:t>
      </w:r>
      <w:r w:rsidR="002A4E2E" w:rsidRPr="002A4E2E">
        <w:t>Final-grade (G3) histograms by course</w:t>
      </w:r>
    </w:p>
    <w:p w14:paraId="4B19FED9" w14:textId="2C71F302" w:rsidR="00371309" w:rsidRPr="00371309" w:rsidRDefault="00474169" w:rsidP="00371309">
      <w:pPr>
        <w:pStyle w:val="IEEEParagraph"/>
      </w:pPr>
      <w:r w:rsidRPr="00474169">
        <w:t>The x-axis shows numeric grades (0–20); the y-axis counts pupils. Both Maths and Portuguese follow near-normal shapes centred on the pass mark (10), yet Mathematics has a pronounced spike at 0, signalling a subgroup that failed outright. This immediately suggests keeping course as a control variable in subsequent models.</w:t>
      </w:r>
    </w:p>
    <w:p w14:paraId="3F529F81" w14:textId="7E644FA5" w:rsidR="00DD71E8" w:rsidRDefault="00474169" w:rsidP="003577FC">
      <w:pPr>
        <w:pStyle w:val="IEEEFigure"/>
      </w:pPr>
      <w:r>
        <w:rPr>
          <w:noProof/>
        </w:rPr>
      </w:r>
      <w:r>
        <w:pict w14:anchorId="5983A7FD">
          <v:shape id="_x0000_s1190" type="#_x0000_t75" style="width:250.85pt;height:161.25pt;mso-left-percent:-10001;mso-top-percent:-10001;mso-position-horizontal:absolute;mso-position-horizontal-relative:char;mso-position-vertical:absolute;mso-position-vertical-relative:line;mso-left-percent:-10001;mso-top-percent:-10001">
            <v:imagedata r:id="rId7" o:title=""/>
            <w10:anchorlock/>
          </v:shape>
        </w:pict>
      </w:r>
    </w:p>
    <w:p w14:paraId="46FF55C4" w14:textId="174A7DC8" w:rsidR="00474169" w:rsidRPr="00474169" w:rsidRDefault="001F47D2" w:rsidP="00474169">
      <w:pPr>
        <w:pStyle w:val="IEEEFigureCaptionSingle-Line"/>
      </w:pPr>
      <w:r>
        <w:t xml:space="preserve">Fig. </w:t>
      </w:r>
      <w:fldSimple w:instr=" SEQ Fig. \* ARABIC  \* MERGEFORMAT ">
        <w:r w:rsidR="008830FC">
          <w:rPr>
            <w:noProof/>
          </w:rPr>
          <w:t>2</w:t>
        </w:r>
      </w:fldSimple>
      <w:r w:rsidR="00775C92">
        <w:t>.</w:t>
      </w:r>
      <w:r>
        <w:t xml:space="preserve">  </w:t>
      </w:r>
      <w:r w:rsidR="002A4E2E" w:rsidRPr="002A4E2E">
        <w:t>Pairwise correlation heat-map (numeric variables)</w:t>
      </w:r>
    </w:p>
    <w:p w14:paraId="125C15AE" w14:textId="0F6E0211" w:rsidR="00371309" w:rsidRPr="0089186E" w:rsidRDefault="0089186E" w:rsidP="002A4E2E">
      <w:pPr>
        <w:ind w:firstLine="216"/>
        <w:rPr>
          <w:sz w:val="20"/>
        </w:rPr>
      </w:pPr>
      <w:r w:rsidRPr="0089186E">
        <w:rPr>
          <w:sz w:val="20"/>
        </w:rPr>
        <w:t xml:space="preserve">Cells are shaded by Pearson ρ; deeper red denotes stronger positive correlation, deep blue negative. The early-term ladder G1 </w:t>
      </w:r>
      <w:r w:rsidRPr="0089186E">
        <w:rPr>
          <w:rFonts w:hint="eastAsia"/>
          <w:sz w:val="20"/>
        </w:rPr>
        <w:t>→</w:t>
      </w:r>
      <w:r w:rsidRPr="0089186E">
        <w:rPr>
          <w:sz w:val="20"/>
        </w:rPr>
        <w:t xml:space="preserve"> G2 </w:t>
      </w:r>
      <w:r w:rsidRPr="0089186E">
        <w:rPr>
          <w:rFonts w:hint="eastAsia"/>
          <w:sz w:val="20"/>
        </w:rPr>
        <w:t>→</w:t>
      </w:r>
      <w:r w:rsidRPr="0089186E">
        <w:rPr>
          <w:sz w:val="20"/>
        </w:rPr>
        <w:t xml:space="preserve"> G3 forms a dark red block (ρ </w:t>
      </w:r>
      <w:r w:rsidRPr="0089186E">
        <w:rPr>
          <w:rFonts w:hint="eastAsia"/>
          <w:sz w:val="20"/>
        </w:rPr>
        <w:t>≈</w:t>
      </w:r>
      <w:r w:rsidRPr="0089186E">
        <w:rPr>
          <w:sz w:val="20"/>
        </w:rPr>
        <w:t xml:space="preserve"> 0.90). Failures and absences are the largest negative correlates of G3 (ρ </w:t>
      </w:r>
      <w:r w:rsidRPr="0089186E">
        <w:rPr>
          <w:rFonts w:hint="eastAsia"/>
          <w:sz w:val="20"/>
        </w:rPr>
        <w:t>≈</w:t>
      </w:r>
      <w:r w:rsidRPr="0089186E">
        <w:rPr>
          <w:sz w:val="20"/>
        </w:rPr>
        <w:t xml:space="preserve"> -0.40 and ‑0.33)</w:t>
      </w:r>
      <w:r w:rsidRPr="0089186E">
        <w:rPr>
          <w:rFonts w:hint="eastAsia"/>
          <w:sz w:val="20"/>
        </w:rPr>
        <w:t>. Lifestyle measures (alcohol, going-out, health) show |</w:t>
      </w:r>
      <w:r w:rsidRPr="0089186E">
        <w:rPr>
          <w:sz w:val="20"/>
        </w:rPr>
        <w:t xml:space="preserve"> </w:t>
      </w:r>
      <w:r w:rsidRPr="0089186E">
        <w:rPr>
          <w:sz w:val="20"/>
        </w:rPr>
        <w:t>ρ</w:t>
      </w:r>
      <w:r w:rsidRPr="0089186E">
        <w:rPr>
          <w:rFonts w:hint="eastAsia"/>
          <w:sz w:val="20"/>
        </w:rPr>
        <w:t xml:space="preserve"> </w:t>
      </w:r>
      <w:r w:rsidRPr="0089186E">
        <w:rPr>
          <w:rFonts w:hint="eastAsia"/>
          <w:sz w:val="20"/>
        </w:rPr>
        <w:t xml:space="preserve">| </w:t>
      </w:r>
      <w:r w:rsidRPr="0089186E">
        <w:rPr>
          <w:rFonts w:hint="eastAsia"/>
          <w:sz w:val="20"/>
        </w:rPr>
        <w:t>≤</w:t>
      </w:r>
      <w:r w:rsidRPr="0089186E">
        <w:rPr>
          <w:rFonts w:hint="eastAsia"/>
          <w:sz w:val="20"/>
        </w:rPr>
        <w:t xml:space="preserve"> 0.20, hinting they will struggle to be significant once grades are controlled</w:t>
      </w:r>
      <w:r w:rsidR="000B171B" w:rsidRPr="000B171B">
        <w:t>.</w:t>
      </w:r>
    </w:p>
    <w:p w14:paraId="71B87E3D" w14:textId="77777777" w:rsidR="00371309" w:rsidRPr="00371309" w:rsidRDefault="00371309" w:rsidP="00371309">
      <w:pPr>
        <w:pStyle w:val="IEEEParagraph"/>
      </w:pPr>
    </w:p>
    <w:p w14:paraId="4DCFD5AF" w14:textId="30A3D4D8" w:rsidR="00EB0B63" w:rsidRDefault="00474169" w:rsidP="003577FC">
      <w:pPr>
        <w:pStyle w:val="IEEEFigure"/>
      </w:pPr>
      <w:r>
        <w:rPr>
          <w:noProof/>
        </w:rPr>
      </w:r>
      <w:r>
        <w:pict w14:anchorId="36F2CD61">
          <v:shape id="_x0000_s1191" type="#_x0000_t75" style="width:250.65pt;height:161.15pt;mso-left-percent:-10001;mso-top-percent:-10001;mso-position-horizontal:absolute;mso-position-horizontal-relative:char;mso-position-vertical:absolute;mso-position-vertical-relative:line;mso-left-percent:-10001;mso-top-percent:-10001">
            <v:imagedata r:id="rId8" o:title=""/>
            <w10:anchorlock/>
          </v:shape>
        </w:pict>
      </w:r>
    </w:p>
    <w:p w14:paraId="3945673A" w14:textId="455CBE57" w:rsidR="00EB0B63" w:rsidRDefault="001F47D2" w:rsidP="001F47D2">
      <w:pPr>
        <w:pStyle w:val="IEEEFigureCaptionSingle-Line"/>
      </w:pPr>
      <w:r>
        <w:t xml:space="preserve">Fig. </w:t>
      </w:r>
      <w:fldSimple w:instr=" SEQ Fig. \* ARABIC  \* MERGEFORMAT ">
        <w:r w:rsidR="008830FC">
          <w:rPr>
            <w:noProof/>
          </w:rPr>
          <w:t>3</w:t>
        </w:r>
      </w:fldSimple>
      <w:r w:rsidR="00775C92">
        <w:t>.</w:t>
      </w:r>
      <w:r>
        <w:t xml:space="preserve">  </w:t>
      </w:r>
      <w:r w:rsidR="002A4E2E" w:rsidRPr="002A4E2E">
        <w:t>Box-plot of weekly study-time vs G3</w:t>
      </w:r>
    </w:p>
    <w:p w14:paraId="440C9434" w14:textId="2427AAFD" w:rsidR="002A4E2E" w:rsidRPr="002A4E2E" w:rsidRDefault="002A4E2E" w:rsidP="002A4E2E">
      <w:pPr>
        <w:pStyle w:val="IEEEParagraph"/>
        <w:rPr>
          <w:lang w:val="en-US"/>
        </w:rPr>
      </w:pPr>
      <w:r w:rsidRPr="002A4E2E">
        <w:rPr>
          <w:rFonts w:hint="eastAsia"/>
          <w:lang w:val="en-US"/>
        </w:rPr>
        <w:t>Categories 1</w:t>
      </w:r>
      <w:r w:rsidRPr="002A4E2E">
        <w:rPr>
          <w:rFonts w:hint="eastAsia"/>
          <w:lang w:val="en-US"/>
        </w:rPr>
        <w:t>–</w:t>
      </w:r>
      <w:r w:rsidRPr="002A4E2E">
        <w:rPr>
          <w:rFonts w:hint="eastAsia"/>
          <w:lang w:val="en-US"/>
        </w:rPr>
        <w:t>4 correspond to &lt;2 h, 2</w:t>
      </w:r>
      <w:r w:rsidRPr="002A4E2E">
        <w:rPr>
          <w:rFonts w:hint="eastAsia"/>
          <w:lang w:val="en-US"/>
        </w:rPr>
        <w:t>–</w:t>
      </w:r>
      <w:r w:rsidRPr="002A4E2E">
        <w:rPr>
          <w:rFonts w:hint="eastAsia"/>
          <w:lang w:val="en-US"/>
        </w:rPr>
        <w:t>5 h, 5</w:t>
      </w:r>
      <w:r w:rsidRPr="002A4E2E">
        <w:rPr>
          <w:rFonts w:hint="eastAsia"/>
          <w:lang w:val="en-US"/>
        </w:rPr>
        <w:t>–</w:t>
      </w:r>
      <w:r w:rsidRPr="002A4E2E">
        <w:rPr>
          <w:rFonts w:hint="eastAsia"/>
          <w:lang w:val="en-US"/>
        </w:rPr>
        <w:t xml:space="preserve">10 h, &gt;10 h. Median G3 climbs from </w:t>
      </w:r>
      <w:r w:rsidRPr="002A4E2E">
        <w:rPr>
          <w:rFonts w:hint="eastAsia"/>
          <w:lang w:val="en-US"/>
        </w:rPr>
        <w:t>≈</w:t>
      </w:r>
      <w:r w:rsidRPr="002A4E2E">
        <w:rPr>
          <w:rFonts w:hint="eastAsia"/>
          <w:lang w:val="en-US"/>
        </w:rPr>
        <w:t xml:space="preserve">10 to </w:t>
      </w:r>
      <w:r w:rsidRPr="002A4E2E">
        <w:rPr>
          <w:rFonts w:hint="eastAsia"/>
          <w:lang w:val="en-US"/>
        </w:rPr>
        <w:t>≈</w:t>
      </w:r>
      <w:r w:rsidRPr="002A4E2E">
        <w:rPr>
          <w:rFonts w:hint="eastAsia"/>
          <w:lang w:val="en-US"/>
        </w:rPr>
        <w:t>14 across the scale, but wide inter-quartile overlap foreshadows a small slope in multivariate models.</w:t>
      </w:r>
    </w:p>
    <w:p w14:paraId="00DE1478" w14:textId="242DCAC3" w:rsidR="000A5C76" w:rsidRPr="000A5C76" w:rsidRDefault="002A4E2E" w:rsidP="002A4E2E">
      <w:pPr>
        <w:pStyle w:val="IEEEParagraph"/>
        <w:rPr>
          <w:lang w:val="en-US"/>
        </w:rPr>
      </w:pPr>
      <w:r>
        <w:rPr>
          <w:lang w:val="en-US"/>
        </w:rPr>
        <w:t>Visual</w:t>
      </w:r>
      <w:r w:rsidRPr="002A4E2E">
        <w:rPr>
          <w:lang w:val="en-US"/>
        </w:rPr>
        <w:t xml:space="preserve"> evidence points to academic momentum (prior grades) as the dominant driver; </w:t>
      </w:r>
      <w:r w:rsidRPr="002A4E2E">
        <w:rPr>
          <w:lang w:val="en-US"/>
        </w:rPr>
        <w:t>behavioral</w:t>
      </w:r>
      <w:r w:rsidRPr="002A4E2E">
        <w:rPr>
          <w:lang w:val="en-US"/>
        </w:rPr>
        <w:t xml:space="preserve"> factors appear secondary and possibly suppressed once earlier performance is </w:t>
      </w:r>
      <w:proofErr w:type="gramStart"/>
      <w:r w:rsidRPr="002A4E2E">
        <w:rPr>
          <w:lang w:val="en-US"/>
        </w:rPr>
        <w:t>known.</w:t>
      </w:r>
      <w:r w:rsidR="000A5C76" w:rsidRPr="000A5C76">
        <w:rPr>
          <w:lang w:val="en-US"/>
        </w:rPr>
        <w:t>.</w:t>
      </w:r>
      <w:proofErr w:type="gramEnd"/>
    </w:p>
    <w:p w14:paraId="30FC6958" w14:textId="303D387F" w:rsidR="00371309" w:rsidRDefault="000A5C76" w:rsidP="000A5C76">
      <w:pPr>
        <w:pStyle w:val="IEEEHeading2"/>
        <w:numPr>
          <w:ilvl w:val="0"/>
          <w:numId w:val="0"/>
        </w:numPr>
        <w:ind w:left="288" w:hanging="288"/>
      </w:pPr>
      <w:r>
        <w:t>B. Linear Regression Model</w:t>
      </w:r>
    </w:p>
    <w:p w14:paraId="29913F32" w14:textId="71537F4F" w:rsidR="00460D66" w:rsidRDefault="000A5C76" w:rsidP="00460D66">
      <w:pPr>
        <w:pStyle w:val="IEEETableCaption"/>
      </w:pPr>
      <w:r>
        <w:t xml:space="preserve">TABLE </w:t>
      </w:r>
      <w:r>
        <w:t>3</w:t>
      </w:r>
      <w:r>
        <w:br w:type="textWrapping" w:clear="all"/>
      </w:r>
      <w:r w:rsidR="00460D66">
        <w:t>OLS coefficients (sorted by |β|); training Adj. R² = 0.854</w:t>
      </w:r>
    </w:p>
    <w:tbl>
      <w:tblPr>
        <w:tblW w:w="4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1530"/>
        <w:gridCol w:w="1150"/>
      </w:tblGrid>
      <w:tr w:rsidR="00460D66" w14:paraId="5D4EF40D" w14:textId="77777777" w:rsidTr="00460D66">
        <w:trPr>
          <w:trHeight w:val="763"/>
          <w:jc w:val="center"/>
        </w:trPr>
        <w:tc>
          <w:tcPr>
            <w:tcW w:w="1799" w:type="dxa"/>
          </w:tcPr>
          <w:p w14:paraId="4BF1EDC2" w14:textId="52EA4510" w:rsidR="00460D66" w:rsidRPr="00460D66" w:rsidRDefault="00460D66" w:rsidP="00460D66">
            <w:pPr>
              <w:pStyle w:val="IEEETableCell"/>
              <w:rPr>
                <w:b/>
                <w:bCs/>
                <w:szCs w:val="18"/>
              </w:rPr>
            </w:pPr>
            <w:r w:rsidRPr="00460D66">
              <w:rPr>
                <w:b/>
                <w:bCs/>
                <w:szCs w:val="18"/>
              </w:rPr>
              <w:t>Term</w:t>
            </w:r>
          </w:p>
        </w:tc>
        <w:tc>
          <w:tcPr>
            <w:tcW w:w="1530" w:type="dxa"/>
          </w:tcPr>
          <w:p w14:paraId="42B7E10E" w14:textId="34C66290" w:rsidR="00460D66" w:rsidRPr="000F208B" w:rsidRDefault="00460D66" w:rsidP="00460D66">
            <w:pPr>
              <w:pStyle w:val="IEEETableHeaderLeft-Justified"/>
              <w:rPr>
                <w:szCs w:val="18"/>
                <w:vertAlign w:val="superscript"/>
              </w:rPr>
            </w:pPr>
            <w:r w:rsidRPr="00460D66">
              <w:rPr>
                <w:rFonts w:ascii="Cambria Math" w:hAnsi="Cambria Math" w:cs="Cambria Math"/>
                <w:szCs w:val="18"/>
              </w:rPr>
              <w:t>𝛽</w:t>
            </w:r>
            <w:r w:rsidR="000F208B">
              <w:rPr>
                <w:rFonts w:ascii="Cambria Math" w:hAnsi="Cambria Math" w:cs="Cambria Math"/>
                <w:szCs w:val="18"/>
                <w:vertAlign w:val="superscript"/>
              </w:rPr>
              <w:t>^</w:t>
            </w:r>
          </w:p>
        </w:tc>
        <w:tc>
          <w:tcPr>
            <w:tcW w:w="1150" w:type="dxa"/>
          </w:tcPr>
          <w:p w14:paraId="28DED618" w14:textId="653DB829" w:rsidR="00460D66" w:rsidRPr="00460D66" w:rsidRDefault="00460D66" w:rsidP="00460D66">
            <w:pPr>
              <w:pStyle w:val="IEEETableHeaderLeft-Justified"/>
              <w:rPr>
                <w:szCs w:val="18"/>
              </w:rPr>
            </w:pPr>
            <w:r w:rsidRPr="00460D66">
              <w:rPr>
                <w:szCs w:val="18"/>
              </w:rPr>
              <w:t>p-value</w:t>
            </w:r>
          </w:p>
        </w:tc>
      </w:tr>
      <w:tr w:rsidR="00460D66" w14:paraId="45A53625" w14:textId="77777777" w:rsidTr="00460D66">
        <w:trPr>
          <w:trHeight w:val="1309"/>
          <w:jc w:val="center"/>
        </w:trPr>
        <w:tc>
          <w:tcPr>
            <w:tcW w:w="1799" w:type="dxa"/>
          </w:tcPr>
          <w:p w14:paraId="38F5767B" w14:textId="1A4CEDBF" w:rsidR="00460D66" w:rsidRPr="00460D66" w:rsidRDefault="00460D66" w:rsidP="00460D66">
            <w:pPr>
              <w:pStyle w:val="IEEETableCell"/>
              <w:rPr>
                <w:szCs w:val="18"/>
              </w:rPr>
            </w:pPr>
            <w:r w:rsidRPr="00460D66">
              <w:rPr>
                <w:szCs w:val="18"/>
              </w:rPr>
              <w:t>(Intercept)</w:t>
            </w:r>
          </w:p>
        </w:tc>
        <w:tc>
          <w:tcPr>
            <w:tcW w:w="1530" w:type="dxa"/>
          </w:tcPr>
          <w:p w14:paraId="3BCF2BC5" w14:textId="60B8C393" w:rsidR="00460D66" w:rsidRPr="00460D66" w:rsidRDefault="00460D66" w:rsidP="00460D66">
            <w:pPr>
              <w:rPr>
                <w:sz w:val="18"/>
                <w:szCs w:val="18"/>
              </w:rPr>
            </w:pPr>
            <w:r w:rsidRPr="00460D66">
              <w:rPr>
                <w:sz w:val="18"/>
                <w:szCs w:val="18"/>
              </w:rPr>
              <w:t>–0.66</w:t>
            </w:r>
          </w:p>
        </w:tc>
        <w:tc>
          <w:tcPr>
            <w:tcW w:w="1150" w:type="dxa"/>
          </w:tcPr>
          <w:p w14:paraId="3E25AE6E" w14:textId="271B13EB" w:rsidR="00460D66" w:rsidRPr="00460D66" w:rsidRDefault="00460D66" w:rsidP="00460D66">
            <w:pPr>
              <w:rPr>
                <w:sz w:val="18"/>
                <w:szCs w:val="18"/>
              </w:rPr>
            </w:pPr>
            <w:r w:rsidRPr="00460D66">
              <w:rPr>
                <w:sz w:val="18"/>
                <w:szCs w:val="18"/>
              </w:rPr>
              <w:t>0.</w:t>
            </w:r>
            <w:r w:rsidR="00863B5C">
              <w:rPr>
                <w:sz w:val="18"/>
                <w:szCs w:val="18"/>
              </w:rPr>
              <w:t>23</w:t>
            </w:r>
          </w:p>
        </w:tc>
      </w:tr>
      <w:tr w:rsidR="00460D66" w14:paraId="012D62C2" w14:textId="77777777" w:rsidTr="00460D66">
        <w:trPr>
          <w:trHeight w:val="971"/>
          <w:jc w:val="center"/>
        </w:trPr>
        <w:tc>
          <w:tcPr>
            <w:tcW w:w="1799" w:type="dxa"/>
          </w:tcPr>
          <w:p w14:paraId="6E1AF903" w14:textId="60E81C71" w:rsidR="00460D66" w:rsidRPr="00460D66" w:rsidRDefault="00460D66" w:rsidP="00460D66">
            <w:pPr>
              <w:pStyle w:val="IEEETableCell"/>
              <w:rPr>
                <w:szCs w:val="18"/>
              </w:rPr>
            </w:pPr>
            <w:r w:rsidRPr="00460D66">
              <w:rPr>
                <w:szCs w:val="18"/>
              </w:rPr>
              <w:t>G2</w:t>
            </w:r>
          </w:p>
        </w:tc>
        <w:tc>
          <w:tcPr>
            <w:tcW w:w="1530" w:type="dxa"/>
          </w:tcPr>
          <w:p w14:paraId="1BCFE48C" w14:textId="3B6914A9" w:rsidR="00460D66" w:rsidRPr="00460D66" w:rsidRDefault="00460D66" w:rsidP="00460D66">
            <w:pPr>
              <w:rPr>
                <w:sz w:val="18"/>
                <w:szCs w:val="18"/>
              </w:rPr>
            </w:pPr>
            <w:r w:rsidRPr="00460D66">
              <w:rPr>
                <w:sz w:val="18"/>
                <w:szCs w:val="18"/>
              </w:rPr>
              <w:t>0.92</w:t>
            </w:r>
          </w:p>
        </w:tc>
        <w:tc>
          <w:tcPr>
            <w:tcW w:w="1150" w:type="dxa"/>
          </w:tcPr>
          <w:p w14:paraId="67C88019" w14:textId="457158CB" w:rsidR="00460D66" w:rsidRPr="00460D66" w:rsidRDefault="00460D66" w:rsidP="00460D66">
            <w:pPr>
              <w:pStyle w:val="IEEETableCell"/>
              <w:rPr>
                <w:szCs w:val="18"/>
              </w:rPr>
            </w:pPr>
            <w:r w:rsidRPr="00460D66">
              <w:rPr>
                <w:szCs w:val="18"/>
              </w:rPr>
              <w:t>&lt; 2 × 10</w:t>
            </w:r>
            <w:r w:rsidRPr="00460D66">
              <w:rPr>
                <w:rFonts w:ascii="Cambria Math" w:hAnsi="Cambria Math" w:cs="Cambria Math"/>
                <w:szCs w:val="18"/>
              </w:rPr>
              <w:t>⁻</w:t>
            </w:r>
            <w:r w:rsidRPr="00460D66">
              <w:rPr>
                <w:rFonts w:ascii="Aptos" w:hAnsi="Aptos" w:cs="Aptos"/>
                <w:szCs w:val="18"/>
              </w:rPr>
              <w:t>¹⁶</w:t>
            </w:r>
          </w:p>
        </w:tc>
      </w:tr>
      <w:tr w:rsidR="00460D66" w14:paraId="4963B2A5" w14:textId="77777777" w:rsidTr="00460D66">
        <w:trPr>
          <w:trHeight w:val="971"/>
          <w:jc w:val="center"/>
        </w:trPr>
        <w:tc>
          <w:tcPr>
            <w:tcW w:w="1799" w:type="dxa"/>
          </w:tcPr>
          <w:p w14:paraId="45325A8F" w14:textId="3F43B55E" w:rsidR="00460D66" w:rsidRPr="00460D66" w:rsidRDefault="00460D66" w:rsidP="00460D66">
            <w:pPr>
              <w:pStyle w:val="IEEETableCell"/>
              <w:rPr>
                <w:szCs w:val="18"/>
              </w:rPr>
            </w:pPr>
            <w:r w:rsidRPr="00460D66">
              <w:rPr>
                <w:szCs w:val="18"/>
              </w:rPr>
              <w:t>Course = Portuguese</w:t>
            </w:r>
          </w:p>
        </w:tc>
        <w:tc>
          <w:tcPr>
            <w:tcW w:w="1530" w:type="dxa"/>
          </w:tcPr>
          <w:p w14:paraId="37C8EEA0" w14:textId="25BB9D0B" w:rsidR="00460D66" w:rsidRPr="00460D66" w:rsidRDefault="00460D66" w:rsidP="00460D66">
            <w:pPr>
              <w:rPr>
                <w:sz w:val="18"/>
                <w:szCs w:val="18"/>
              </w:rPr>
            </w:pPr>
            <w:r w:rsidRPr="00460D66">
              <w:rPr>
                <w:sz w:val="18"/>
                <w:szCs w:val="18"/>
              </w:rPr>
              <w:t>0.97</w:t>
            </w:r>
          </w:p>
        </w:tc>
        <w:tc>
          <w:tcPr>
            <w:tcW w:w="1150" w:type="dxa"/>
          </w:tcPr>
          <w:p w14:paraId="257CF8FB" w14:textId="59940D2B" w:rsidR="00460D66" w:rsidRPr="00460D66" w:rsidRDefault="00460D66" w:rsidP="00460D66">
            <w:pPr>
              <w:pStyle w:val="IEEETableCell"/>
              <w:rPr>
                <w:szCs w:val="18"/>
              </w:rPr>
            </w:pPr>
            <w:r w:rsidRPr="00460D66">
              <w:rPr>
                <w:szCs w:val="18"/>
              </w:rPr>
              <w:t>1 × 10</w:t>
            </w:r>
            <w:r w:rsidRPr="00460D66">
              <w:rPr>
                <w:rFonts w:ascii="Cambria Math" w:hAnsi="Cambria Math" w:cs="Cambria Math"/>
                <w:szCs w:val="18"/>
              </w:rPr>
              <w:t>⁻</w:t>
            </w:r>
            <w:r w:rsidRPr="00460D66">
              <w:rPr>
                <w:rFonts w:ascii="Aptos" w:hAnsi="Aptos" w:cs="Aptos"/>
                <w:szCs w:val="18"/>
              </w:rPr>
              <w:t>⁶</w:t>
            </w:r>
          </w:p>
        </w:tc>
      </w:tr>
      <w:tr w:rsidR="00460D66" w14:paraId="246F6BE1" w14:textId="77777777" w:rsidTr="00460D66">
        <w:trPr>
          <w:trHeight w:val="334"/>
          <w:jc w:val="center"/>
        </w:trPr>
        <w:tc>
          <w:tcPr>
            <w:tcW w:w="1799" w:type="dxa"/>
          </w:tcPr>
          <w:p w14:paraId="10C93325" w14:textId="243F52DC" w:rsidR="00460D66" w:rsidRPr="00460D66" w:rsidRDefault="00460D66" w:rsidP="00460D66">
            <w:pPr>
              <w:pStyle w:val="IEEETableCell"/>
              <w:rPr>
                <w:szCs w:val="18"/>
              </w:rPr>
            </w:pPr>
            <w:r w:rsidRPr="00460D66">
              <w:rPr>
                <w:szCs w:val="18"/>
              </w:rPr>
              <w:t>Romantic = yes</w:t>
            </w:r>
          </w:p>
        </w:tc>
        <w:tc>
          <w:tcPr>
            <w:tcW w:w="1530" w:type="dxa"/>
          </w:tcPr>
          <w:p w14:paraId="11BBC5B2" w14:textId="28BD948B" w:rsidR="00460D66" w:rsidRPr="00460D66" w:rsidRDefault="00460D66" w:rsidP="00460D66">
            <w:pPr>
              <w:pStyle w:val="IEEETableCell"/>
              <w:rPr>
                <w:szCs w:val="18"/>
              </w:rPr>
            </w:pPr>
            <w:r w:rsidRPr="00460D66">
              <w:rPr>
                <w:szCs w:val="18"/>
              </w:rPr>
              <w:t>–0.29</w:t>
            </w:r>
          </w:p>
        </w:tc>
        <w:tc>
          <w:tcPr>
            <w:tcW w:w="1150" w:type="dxa"/>
          </w:tcPr>
          <w:p w14:paraId="59E333B6" w14:textId="520E2408" w:rsidR="00460D66" w:rsidRPr="00460D66" w:rsidRDefault="00460D66" w:rsidP="00460D66">
            <w:pPr>
              <w:rPr>
                <w:sz w:val="18"/>
                <w:szCs w:val="18"/>
              </w:rPr>
            </w:pPr>
            <w:r w:rsidRPr="00460D66">
              <w:rPr>
                <w:sz w:val="18"/>
                <w:szCs w:val="18"/>
              </w:rPr>
              <w:t>0.048</w:t>
            </w:r>
          </w:p>
        </w:tc>
      </w:tr>
      <w:tr w:rsidR="00460D66" w14:paraId="27F357A1" w14:textId="77777777" w:rsidTr="00460D66">
        <w:trPr>
          <w:trHeight w:val="334"/>
          <w:jc w:val="center"/>
        </w:trPr>
        <w:tc>
          <w:tcPr>
            <w:tcW w:w="1799" w:type="dxa"/>
          </w:tcPr>
          <w:p w14:paraId="54786EBE" w14:textId="3DAEBD16" w:rsidR="00460D66" w:rsidRPr="00460D66" w:rsidRDefault="00460D66" w:rsidP="00460D66">
            <w:pPr>
              <w:pStyle w:val="IEEETableCell"/>
              <w:rPr>
                <w:color w:val="000000"/>
                <w:szCs w:val="18"/>
              </w:rPr>
            </w:pPr>
            <w:r w:rsidRPr="00460D66">
              <w:rPr>
                <w:szCs w:val="18"/>
              </w:rPr>
              <w:t>Failures</w:t>
            </w:r>
          </w:p>
        </w:tc>
        <w:tc>
          <w:tcPr>
            <w:tcW w:w="1530" w:type="dxa"/>
          </w:tcPr>
          <w:p w14:paraId="2B3D4498" w14:textId="4823F479" w:rsidR="00460D66" w:rsidRPr="00460D66" w:rsidRDefault="00460D66" w:rsidP="00460D66">
            <w:pPr>
              <w:pStyle w:val="IEEETableCell"/>
              <w:rPr>
                <w:color w:val="000000"/>
                <w:szCs w:val="18"/>
              </w:rPr>
            </w:pPr>
            <w:r w:rsidRPr="00460D66">
              <w:rPr>
                <w:szCs w:val="18"/>
              </w:rPr>
              <w:t>–0.20</w:t>
            </w:r>
          </w:p>
        </w:tc>
        <w:tc>
          <w:tcPr>
            <w:tcW w:w="1150" w:type="dxa"/>
          </w:tcPr>
          <w:p w14:paraId="687D3F54" w14:textId="4B0A1B66" w:rsidR="00460D66" w:rsidRPr="00460D66" w:rsidRDefault="00460D66" w:rsidP="00460D66">
            <w:pPr>
              <w:rPr>
                <w:color w:val="000000"/>
                <w:sz w:val="18"/>
                <w:szCs w:val="18"/>
              </w:rPr>
            </w:pPr>
            <w:r w:rsidRPr="00460D66">
              <w:rPr>
                <w:sz w:val="18"/>
                <w:szCs w:val="18"/>
              </w:rPr>
              <w:t>0.07</w:t>
            </w:r>
          </w:p>
        </w:tc>
      </w:tr>
      <w:tr w:rsidR="00460D66" w14:paraId="3F34ED06" w14:textId="77777777" w:rsidTr="00460D66">
        <w:trPr>
          <w:trHeight w:val="334"/>
          <w:jc w:val="center"/>
        </w:trPr>
        <w:tc>
          <w:tcPr>
            <w:tcW w:w="1799" w:type="dxa"/>
          </w:tcPr>
          <w:p w14:paraId="3D75745C" w14:textId="5DCA066C" w:rsidR="00460D66" w:rsidRPr="00460D66" w:rsidRDefault="00460D66" w:rsidP="00460D66">
            <w:pPr>
              <w:pStyle w:val="IEEETableCell"/>
              <w:rPr>
                <w:color w:val="000000"/>
                <w:szCs w:val="18"/>
              </w:rPr>
            </w:pPr>
            <w:r w:rsidRPr="00460D66">
              <w:rPr>
                <w:szCs w:val="18"/>
              </w:rPr>
              <w:t>G1</w:t>
            </w:r>
          </w:p>
        </w:tc>
        <w:tc>
          <w:tcPr>
            <w:tcW w:w="1530" w:type="dxa"/>
          </w:tcPr>
          <w:p w14:paraId="5DFDC217" w14:textId="2A654C6E" w:rsidR="00460D66" w:rsidRPr="00460D66" w:rsidRDefault="00460D66" w:rsidP="00460D66">
            <w:pPr>
              <w:pStyle w:val="IEEETableCell"/>
              <w:rPr>
                <w:color w:val="000000"/>
                <w:szCs w:val="18"/>
              </w:rPr>
            </w:pPr>
            <w:r w:rsidRPr="00460D66">
              <w:rPr>
                <w:szCs w:val="18"/>
              </w:rPr>
              <w:t>0.17</w:t>
            </w:r>
          </w:p>
        </w:tc>
        <w:tc>
          <w:tcPr>
            <w:tcW w:w="1150" w:type="dxa"/>
          </w:tcPr>
          <w:p w14:paraId="6B0BCFEF" w14:textId="0B31E0B8" w:rsidR="00460D66" w:rsidRPr="00460D66" w:rsidRDefault="00460D66" w:rsidP="00460D66">
            <w:pPr>
              <w:rPr>
                <w:color w:val="000000"/>
                <w:sz w:val="18"/>
                <w:szCs w:val="18"/>
              </w:rPr>
            </w:pPr>
            <w:r w:rsidRPr="00460D66">
              <w:rPr>
                <w:sz w:val="18"/>
                <w:szCs w:val="18"/>
              </w:rPr>
              <w:t>8 × 10</w:t>
            </w:r>
            <w:r w:rsidRPr="00460D66">
              <w:rPr>
                <w:rFonts w:ascii="Cambria Math" w:hAnsi="Cambria Math" w:cs="Cambria Math"/>
                <w:sz w:val="18"/>
                <w:szCs w:val="18"/>
              </w:rPr>
              <w:t>⁻</w:t>
            </w:r>
            <w:r w:rsidRPr="00460D66">
              <w:rPr>
                <w:rFonts w:ascii="Aptos" w:hAnsi="Aptos" w:cs="Aptos"/>
                <w:sz w:val="18"/>
                <w:szCs w:val="18"/>
              </w:rPr>
              <w:t>⁵</w:t>
            </w:r>
          </w:p>
        </w:tc>
      </w:tr>
      <w:tr w:rsidR="00863B5C" w14:paraId="05859786" w14:textId="77777777" w:rsidTr="00460D66">
        <w:trPr>
          <w:trHeight w:val="334"/>
          <w:jc w:val="center"/>
        </w:trPr>
        <w:tc>
          <w:tcPr>
            <w:tcW w:w="1799" w:type="dxa"/>
          </w:tcPr>
          <w:p w14:paraId="3F3C2058" w14:textId="4BB0A536" w:rsidR="00863B5C" w:rsidRPr="00460D66" w:rsidRDefault="00863B5C" w:rsidP="00460D66">
            <w:pPr>
              <w:pStyle w:val="IEEETableCell"/>
              <w:rPr>
                <w:szCs w:val="18"/>
              </w:rPr>
            </w:pPr>
            <w:r>
              <w:rPr>
                <w:szCs w:val="18"/>
              </w:rPr>
              <w:t>Absences</w:t>
            </w:r>
          </w:p>
        </w:tc>
        <w:tc>
          <w:tcPr>
            <w:tcW w:w="1530" w:type="dxa"/>
          </w:tcPr>
          <w:p w14:paraId="00B19C06" w14:textId="098AAC4C" w:rsidR="00863B5C" w:rsidRPr="00460D66" w:rsidRDefault="00863B5C" w:rsidP="00460D66">
            <w:pPr>
              <w:pStyle w:val="IEEETableCell"/>
              <w:rPr>
                <w:szCs w:val="18"/>
              </w:rPr>
            </w:pPr>
            <w:r>
              <w:rPr>
                <w:szCs w:val="18"/>
              </w:rPr>
              <w:t>0.03</w:t>
            </w:r>
          </w:p>
        </w:tc>
        <w:tc>
          <w:tcPr>
            <w:tcW w:w="1150" w:type="dxa"/>
          </w:tcPr>
          <w:p w14:paraId="38BB53AB" w14:textId="3731C403" w:rsidR="00863B5C" w:rsidRPr="00460D66" w:rsidRDefault="00863B5C" w:rsidP="00460D66">
            <w:pPr>
              <w:rPr>
                <w:sz w:val="18"/>
                <w:szCs w:val="18"/>
              </w:rPr>
            </w:pPr>
            <w:r>
              <w:rPr>
                <w:sz w:val="18"/>
                <w:szCs w:val="18"/>
              </w:rPr>
              <w:t>0.001</w:t>
            </w:r>
          </w:p>
        </w:tc>
      </w:tr>
      <w:tr w:rsidR="00460D66" w14:paraId="48BEE2E0" w14:textId="77777777" w:rsidTr="00460D66">
        <w:trPr>
          <w:trHeight w:val="334"/>
          <w:jc w:val="center"/>
        </w:trPr>
        <w:tc>
          <w:tcPr>
            <w:tcW w:w="1799" w:type="dxa"/>
          </w:tcPr>
          <w:p w14:paraId="6C75D9EA" w14:textId="1386B4A2" w:rsidR="00460D66" w:rsidRPr="00460D66" w:rsidRDefault="00460D66" w:rsidP="00460D66">
            <w:pPr>
              <w:pStyle w:val="IEEETableCell"/>
              <w:rPr>
                <w:color w:val="000000"/>
                <w:szCs w:val="18"/>
              </w:rPr>
            </w:pPr>
            <w:r w:rsidRPr="00460D66">
              <w:rPr>
                <w:szCs w:val="18"/>
              </w:rPr>
              <w:t>(others)</w:t>
            </w:r>
          </w:p>
        </w:tc>
        <w:tc>
          <w:tcPr>
            <w:tcW w:w="1530" w:type="dxa"/>
          </w:tcPr>
          <w:p w14:paraId="0035E4F1" w14:textId="31CC70C3" w:rsidR="00460D66" w:rsidRPr="00460D66" w:rsidRDefault="00460D66" w:rsidP="00460D66">
            <w:pPr>
              <w:pStyle w:val="IEEETableCell"/>
              <w:rPr>
                <w:color w:val="000000"/>
                <w:szCs w:val="18"/>
              </w:rPr>
            </w:pPr>
            <w:r w:rsidRPr="00460D66">
              <w:rPr>
                <w:szCs w:val="18"/>
              </w:rPr>
              <w:t>—</w:t>
            </w:r>
          </w:p>
        </w:tc>
        <w:tc>
          <w:tcPr>
            <w:tcW w:w="1150" w:type="dxa"/>
          </w:tcPr>
          <w:p w14:paraId="2E9C99A4" w14:textId="0B0EAE60" w:rsidR="00460D66" w:rsidRPr="00460D66" w:rsidRDefault="00460D66" w:rsidP="00460D66">
            <w:pPr>
              <w:rPr>
                <w:color w:val="000000"/>
                <w:sz w:val="18"/>
                <w:szCs w:val="18"/>
              </w:rPr>
            </w:pPr>
            <w:proofErr w:type="spellStart"/>
            <w:r w:rsidRPr="00460D66">
              <w:rPr>
                <w:sz w:val="18"/>
                <w:szCs w:val="18"/>
              </w:rPr>
              <w:t>n.s</w:t>
            </w:r>
            <w:proofErr w:type="spellEnd"/>
            <w:r w:rsidRPr="00460D66">
              <w:rPr>
                <w:sz w:val="18"/>
                <w:szCs w:val="18"/>
              </w:rPr>
              <w:t>.</w:t>
            </w:r>
          </w:p>
        </w:tc>
      </w:tr>
    </w:tbl>
    <w:p w14:paraId="7E055DE0" w14:textId="61C060D0" w:rsidR="000F208B" w:rsidRDefault="000F208B" w:rsidP="000F208B">
      <w:pPr>
        <w:pStyle w:val="IEEETableCaption"/>
      </w:pPr>
      <w:r>
        <w:t xml:space="preserve">TABLE </w:t>
      </w:r>
      <w:r>
        <w:t>4</w:t>
      </w:r>
      <w:r>
        <w:br w:type="textWrapping" w:clear="all"/>
      </w:r>
      <w:r w:rsidRPr="000F208B">
        <w:t>Test-set performance</w:t>
      </w:r>
    </w:p>
    <w:tbl>
      <w:tblPr>
        <w:tblW w:w="4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1530"/>
        <w:gridCol w:w="1150"/>
      </w:tblGrid>
      <w:tr w:rsidR="000F208B" w14:paraId="72F73611" w14:textId="77777777" w:rsidTr="000F208B">
        <w:trPr>
          <w:trHeight w:val="287"/>
          <w:jc w:val="center"/>
        </w:trPr>
        <w:tc>
          <w:tcPr>
            <w:tcW w:w="1799" w:type="dxa"/>
          </w:tcPr>
          <w:p w14:paraId="2EEF473F" w14:textId="447BC772" w:rsidR="000F208B" w:rsidRPr="00460D66" w:rsidRDefault="000F208B" w:rsidP="0070575A">
            <w:pPr>
              <w:pStyle w:val="IEEETableCell"/>
              <w:rPr>
                <w:b/>
                <w:bCs/>
                <w:szCs w:val="18"/>
              </w:rPr>
            </w:pPr>
            <w:r w:rsidRPr="000F208B">
              <w:rPr>
                <w:b/>
                <w:bCs/>
                <w:szCs w:val="18"/>
              </w:rPr>
              <w:t>RMSE</w:t>
            </w:r>
          </w:p>
        </w:tc>
        <w:tc>
          <w:tcPr>
            <w:tcW w:w="1530" w:type="dxa"/>
          </w:tcPr>
          <w:p w14:paraId="2C8D12E1" w14:textId="084553AD" w:rsidR="000F208B" w:rsidRPr="000F208B" w:rsidRDefault="000F208B" w:rsidP="0070575A">
            <w:pPr>
              <w:pStyle w:val="IEEETableHeaderLeft-Justified"/>
              <w:rPr>
                <w:szCs w:val="18"/>
                <w:vertAlign w:val="superscript"/>
              </w:rPr>
            </w:pPr>
            <w:r>
              <w:rPr>
                <w:rFonts w:ascii="Cambria Math" w:hAnsi="Cambria Math" w:cs="Cambria Math"/>
                <w:szCs w:val="18"/>
              </w:rPr>
              <w:t>MAE</w:t>
            </w:r>
          </w:p>
        </w:tc>
        <w:tc>
          <w:tcPr>
            <w:tcW w:w="1150" w:type="dxa"/>
          </w:tcPr>
          <w:p w14:paraId="3B1A1728" w14:textId="60FF7741" w:rsidR="000F208B" w:rsidRPr="00460D66" w:rsidRDefault="000F208B" w:rsidP="0070575A">
            <w:pPr>
              <w:pStyle w:val="IEEETableHeaderLeft-Justified"/>
              <w:rPr>
                <w:szCs w:val="18"/>
              </w:rPr>
            </w:pPr>
            <w:r w:rsidRPr="000F208B">
              <w:rPr>
                <w:szCs w:val="18"/>
              </w:rPr>
              <w:t>R²</w:t>
            </w:r>
          </w:p>
        </w:tc>
      </w:tr>
      <w:tr w:rsidR="000F208B" w14:paraId="405B9552" w14:textId="77777777" w:rsidTr="000F208B">
        <w:trPr>
          <w:trHeight w:val="350"/>
          <w:jc w:val="center"/>
        </w:trPr>
        <w:tc>
          <w:tcPr>
            <w:tcW w:w="1799" w:type="dxa"/>
          </w:tcPr>
          <w:p w14:paraId="10E21088" w14:textId="7265A63E" w:rsidR="000F208B" w:rsidRPr="00460D66" w:rsidRDefault="000F208B" w:rsidP="0070575A">
            <w:pPr>
              <w:pStyle w:val="IEEETableCell"/>
              <w:rPr>
                <w:szCs w:val="18"/>
              </w:rPr>
            </w:pPr>
            <w:r>
              <w:rPr>
                <w:szCs w:val="18"/>
              </w:rPr>
              <w:t>1.72</w:t>
            </w:r>
          </w:p>
        </w:tc>
        <w:tc>
          <w:tcPr>
            <w:tcW w:w="1530" w:type="dxa"/>
          </w:tcPr>
          <w:p w14:paraId="4BA0E9AD" w14:textId="097E5AE4" w:rsidR="000F208B" w:rsidRPr="00460D66" w:rsidRDefault="000F208B" w:rsidP="0070575A">
            <w:pPr>
              <w:rPr>
                <w:sz w:val="18"/>
                <w:szCs w:val="18"/>
              </w:rPr>
            </w:pPr>
            <w:r>
              <w:rPr>
                <w:sz w:val="18"/>
                <w:szCs w:val="18"/>
              </w:rPr>
              <w:t>1.07</w:t>
            </w:r>
          </w:p>
        </w:tc>
        <w:tc>
          <w:tcPr>
            <w:tcW w:w="1150" w:type="dxa"/>
          </w:tcPr>
          <w:p w14:paraId="77317B7E" w14:textId="15167DA4" w:rsidR="000F208B" w:rsidRPr="00460D66" w:rsidRDefault="000F208B" w:rsidP="0070575A">
            <w:pPr>
              <w:rPr>
                <w:sz w:val="18"/>
                <w:szCs w:val="18"/>
              </w:rPr>
            </w:pPr>
            <w:r w:rsidRPr="00460D66">
              <w:rPr>
                <w:sz w:val="18"/>
                <w:szCs w:val="18"/>
              </w:rPr>
              <w:t>0.</w:t>
            </w:r>
            <w:r>
              <w:rPr>
                <w:sz w:val="18"/>
                <w:szCs w:val="18"/>
              </w:rPr>
              <w:t>82</w:t>
            </w:r>
          </w:p>
        </w:tc>
      </w:tr>
    </w:tbl>
    <w:p w14:paraId="64DD5B28" w14:textId="77777777" w:rsidR="00432A7C" w:rsidRPr="005F6DC3" w:rsidRDefault="00432A7C" w:rsidP="00432A7C">
      <w:pPr>
        <w:pStyle w:val="IEEEParagraph"/>
        <w:ind w:firstLine="0"/>
      </w:pPr>
    </w:p>
    <w:p w14:paraId="1AFEEB1F" w14:textId="1528BE7D" w:rsidR="00432A7C" w:rsidRPr="00AB18B7" w:rsidRDefault="0089186E" w:rsidP="00432A7C">
      <w:pPr>
        <w:pStyle w:val="IEEEHeading3"/>
      </w:pPr>
      <w:r>
        <w:t xml:space="preserve"> </w:t>
      </w:r>
      <w:r w:rsidR="00432A7C">
        <w:t>Goodness-Of-Fit</w:t>
      </w:r>
      <w:r w:rsidR="00432A7C" w:rsidRPr="00AB18B7">
        <w:rPr>
          <w:i w:val="0"/>
          <w:iCs/>
        </w:rPr>
        <w:t xml:space="preserve">: </w:t>
      </w:r>
      <w:r w:rsidR="00432A7C">
        <w:rPr>
          <w:i w:val="0"/>
          <w:iCs/>
        </w:rPr>
        <w:t xml:space="preserve"> </w:t>
      </w:r>
      <w:r w:rsidR="00432A7C" w:rsidRPr="00432A7C">
        <w:rPr>
          <w:i w:val="0"/>
          <w:iCs/>
        </w:rPr>
        <w:t>R² = 0.8</w:t>
      </w:r>
      <w:r w:rsidR="00460D66">
        <w:rPr>
          <w:i w:val="0"/>
          <w:iCs/>
        </w:rPr>
        <w:t>2</w:t>
      </w:r>
      <w:r w:rsidR="00432A7C" w:rsidRPr="00432A7C">
        <w:rPr>
          <w:i w:val="0"/>
          <w:iCs/>
        </w:rPr>
        <w:t xml:space="preserve"> indicates that the chosen fixed-effects specification already captures most of the variation in G3.</w:t>
      </w:r>
    </w:p>
    <w:p w14:paraId="0E25662E" w14:textId="023830EC" w:rsidR="00BC5D05" w:rsidRPr="000F208B" w:rsidRDefault="0089186E" w:rsidP="000F208B">
      <w:pPr>
        <w:pStyle w:val="IEEEHeading3"/>
        <w:rPr>
          <w:i w:val="0"/>
          <w:iCs/>
          <w:lang w:val="en-GB"/>
        </w:rPr>
      </w:pPr>
      <w:r>
        <w:rPr>
          <w:iCs/>
          <w:lang w:val="en-GB"/>
        </w:rPr>
        <w:t xml:space="preserve"> </w:t>
      </w:r>
      <w:r w:rsidR="000A5C76" w:rsidRPr="00432A7C">
        <w:rPr>
          <w:iCs/>
          <w:lang w:val="en-GB"/>
        </w:rPr>
        <w:t>Assumptions</w:t>
      </w:r>
      <w:r w:rsidR="00432A7C" w:rsidRPr="00432A7C">
        <w:rPr>
          <w:iCs/>
          <w:lang w:val="en-GB"/>
        </w:rPr>
        <w:t>:</w:t>
      </w:r>
      <w:r w:rsidR="00432A7C">
        <w:rPr>
          <w:lang w:val="en-GB"/>
        </w:rPr>
        <w:t xml:space="preserve"> </w:t>
      </w:r>
      <w:r w:rsidR="000A5C76" w:rsidRPr="00432A7C">
        <w:rPr>
          <w:i w:val="0"/>
          <w:iCs/>
          <w:lang w:val="en-GB"/>
        </w:rPr>
        <w:t xml:space="preserve">Figure 4a (Residuals vs Fitted) </w:t>
      </w:r>
      <w:r w:rsidR="002A4E2E" w:rsidRPr="002A4E2E">
        <w:rPr>
          <w:i w:val="0"/>
          <w:iCs/>
          <w:lang w:val="en-GB"/>
        </w:rPr>
        <w:t xml:space="preserve">slight </w:t>
      </w:r>
      <w:proofErr w:type="spellStart"/>
      <w:r w:rsidR="002A4E2E" w:rsidRPr="002A4E2E">
        <w:rPr>
          <w:i w:val="0"/>
          <w:iCs/>
          <w:lang w:val="en-GB"/>
        </w:rPr>
        <w:t>funneling</w:t>
      </w:r>
      <w:proofErr w:type="spellEnd"/>
      <w:r w:rsidR="002A4E2E" w:rsidRPr="002A4E2E">
        <w:rPr>
          <w:i w:val="0"/>
          <w:iCs/>
          <w:lang w:val="en-GB"/>
        </w:rPr>
        <w:t xml:space="preserve"> at low fitted values caused by zero-inflated Maths, but variance remains roughly constant above G3 = 5</w:t>
      </w:r>
      <w:r w:rsidR="000A5C76" w:rsidRPr="00432A7C">
        <w:rPr>
          <w:i w:val="0"/>
          <w:iCs/>
          <w:lang w:val="en-GB"/>
        </w:rPr>
        <w:t>.</w:t>
      </w:r>
      <w:r w:rsidR="00432A7C">
        <w:rPr>
          <w:i w:val="0"/>
          <w:iCs/>
          <w:lang w:val="en-GB"/>
        </w:rPr>
        <w:t xml:space="preserve"> </w:t>
      </w:r>
      <w:r w:rsidR="00432A7C" w:rsidRPr="00432A7C">
        <w:rPr>
          <w:i w:val="0"/>
          <w:iCs/>
          <w:lang w:val="en-GB"/>
        </w:rPr>
        <w:t xml:space="preserve">Figure 4b (Q–Q) indicates </w:t>
      </w:r>
      <w:r w:rsidR="002A4E2E" w:rsidRPr="002A4E2E">
        <w:rPr>
          <w:i w:val="0"/>
          <w:iCs/>
          <w:lang w:val="en-GB"/>
        </w:rPr>
        <w:t>small left-tail deviation; central quantiles align with the 45° line, validating inference. Independence holds by design (cross-section)</w:t>
      </w:r>
      <w:r w:rsidR="00432A7C" w:rsidRPr="00432A7C">
        <w:rPr>
          <w:i w:val="0"/>
          <w:iCs/>
          <w:lang w:val="en-GB"/>
        </w:rPr>
        <w:t>.</w:t>
      </w:r>
    </w:p>
    <w:p w14:paraId="238755B2" w14:textId="77777777" w:rsidR="008B3178" w:rsidRDefault="008B3178" w:rsidP="000A5C76">
      <w:pPr>
        <w:pStyle w:val="IEEEParagraph"/>
        <w:rPr>
          <w:lang w:val="en-GB"/>
        </w:rPr>
      </w:pPr>
    </w:p>
    <w:p w14:paraId="142C801C" w14:textId="0243DEEF" w:rsidR="008B3178" w:rsidRDefault="003577F0" w:rsidP="008B3178">
      <w:pPr>
        <w:pStyle w:val="IEEEFigure"/>
      </w:pPr>
      <w:r w:rsidRPr="000F6EFE">
        <w:rPr>
          <w:noProof/>
        </w:rPr>
        <w:pict w14:anchorId="462E6557">
          <v:shape id="_x0000_i1131" type="#_x0000_t75" style="width:251.55pt;height:144.95pt;visibility:visible;mso-wrap-style:square">
            <v:imagedata r:id="rId9" o:title=""/>
          </v:shape>
        </w:pict>
      </w:r>
    </w:p>
    <w:p w14:paraId="512B6C0B" w14:textId="088EAEFE" w:rsidR="00BC5D05" w:rsidRPr="00BC5D05" w:rsidRDefault="008B3178" w:rsidP="002A4E2E">
      <w:pPr>
        <w:pStyle w:val="IEEEFigureCaptionSingle-Line"/>
      </w:pPr>
      <w:r>
        <w:t xml:space="preserve">Fig. </w:t>
      </w:r>
      <w:r>
        <w:t>4</w:t>
      </w:r>
      <w:r>
        <w:t xml:space="preserve">. </w:t>
      </w:r>
      <w:r w:rsidRPr="008B3178">
        <w:t>Residual diagnostics for the fixed-effects G3 model</w:t>
      </w:r>
    </w:p>
    <w:p w14:paraId="68405089" w14:textId="54E0AA94" w:rsidR="00432A7C" w:rsidRPr="00432A7C" w:rsidRDefault="0089186E" w:rsidP="00432A7C">
      <w:pPr>
        <w:pStyle w:val="IEEEHeading3"/>
        <w:rPr>
          <w:lang w:val="en-GB"/>
        </w:rPr>
      </w:pPr>
      <w:r>
        <w:rPr>
          <w:iCs/>
          <w:lang w:val="en-GB"/>
        </w:rPr>
        <w:t xml:space="preserve"> </w:t>
      </w:r>
      <w:r w:rsidR="000A5C76" w:rsidRPr="00432A7C">
        <w:rPr>
          <w:rFonts w:hint="eastAsia"/>
          <w:iCs/>
          <w:lang w:val="en-GB"/>
        </w:rPr>
        <w:t>Interpretatio</w:t>
      </w:r>
      <w:r w:rsidR="00432A7C" w:rsidRPr="00432A7C">
        <w:rPr>
          <w:iCs/>
          <w:lang w:val="en-GB"/>
        </w:rPr>
        <w:t>n:</w:t>
      </w:r>
      <w:r w:rsidR="000A5C76" w:rsidRPr="000A5C76">
        <w:rPr>
          <w:rFonts w:hint="eastAsia"/>
          <w:lang w:val="en-GB"/>
        </w:rPr>
        <w:t xml:space="preserve"> </w:t>
      </w:r>
      <w:r w:rsidR="003577F0">
        <w:rPr>
          <w:i w:val="0"/>
          <w:iCs/>
          <w:lang w:val="en-GB"/>
        </w:rPr>
        <w:t>E</w:t>
      </w:r>
      <w:r w:rsidR="003577F0" w:rsidRPr="003577F0">
        <w:rPr>
          <w:i w:val="0"/>
          <w:iCs/>
          <w:lang w:val="en-GB"/>
        </w:rPr>
        <w:t xml:space="preserve">very additional point in G2 boosts the final mark by ~0.9 points—essentially a one-for-one carry-over. </w:t>
      </w:r>
      <w:r w:rsidR="00863B5C" w:rsidRPr="00863B5C">
        <w:rPr>
          <w:rFonts w:hint="eastAsia"/>
          <w:i w:val="0"/>
          <w:iCs/>
          <w:lang w:val="en-GB"/>
        </w:rPr>
        <w:t>Most non-academic covariates become negligible once prior grades are known, although Absences retains a small but statistically significant effect (</w:t>
      </w:r>
      <w:r w:rsidR="00863B5C" w:rsidRPr="00863B5C">
        <w:rPr>
          <w:rFonts w:hint="eastAsia"/>
          <w:i w:val="0"/>
          <w:iCs/>
          <w:lang w:val="en-GB"/>
        </w:rPr>
        <w:t>β</w:t>
      </w:r>
      <w:r w:rsidR="00863B5C" w:rsidRPr="00863B5C">
        <w:rPr>
          <w:rFonts w:hint="eastAsia"/>
          <w:i w:val="0"/>
          <w:iCs/>
          <w:lang w:val="en-GB"/>
        </w:rPr>
        <w:t xml:space="preserve"> </w:t>
      </w:r>
      <w:r w:rsidR="00863B5C" w:rsidRPr="00863B5C">
        <w:rPr>
          <w:rFonts w:hint="eastAsia"/>
          <w:i w:val="0"/>
          <w:iCs/>
          <w:lang w:val="en-GB"/>
        </w:rPr>
        <w:t>≈</w:t>
      </w:r>
      <w:r w:rsidR="00863B5C" w:rsidRPr="00863B5C">
        <w:rPr>
          <w:rFonts w:hint="eastAsia"/>
          <w:i w:val="0"/>
          <w:iCs/>
          <w:lang w:val="en-GB"/>
        </w:rPr>
        <w:t xml:space="preserve"> 0.03).</w:t>
      </w:r>
      <w:r w:rsidR="00863B5C">
        <w:rPr>
          <w:i w:val="0"/>
          <w:iCs/>
          <w:lang w:val="en-GB"/>
        </w:rPr>
        <w:t xml:space="preserve"> </w:t>
      </w:r>
      <w:r w:rsidR="003577F0" w:rsidRPr="003577F0">
        <w:rPr>
          <w:i w:val="0"/>
          <w:iCs/>
          <w:lang w:val="en-GB"/>
        </w:rPr>
        <w:t>The test RMSE of 1.72 means predictions are typically within ±2 points on a 0–20 scale—strong practical accuracy.</w:t>
      </w:r>
    </w:p>
    <w:p w14:paraId="25148BF9" w14:textId="10999AAC" w:rsidR="008B3178" w:rsidRDefault="008B3178" w:rsidP="003577F0">
      <w:pPr>
        <w:pStyle w:val="IEEEHeading2"/>
        <w:numPr>
          <w:ilvl w:val="0"/>
          <w:numId w:val="0"/>
        </w:numPr>
      </w:pPr>
      <w:r>
        <w:t xml:space="preserve">C. </w:t>
      </w:r>
      <w:r w:rsidRPr="008B3178">
        <w:t>Logistic Pass/Fail Model</w:t>
      </w:r>
    </w:p>
    <w:p w14:paraId="7758C4D0" w14:textId="78952993" w:rsidR="003577F0" w:rsidRDefault="003577F0" w:rsidP="003577F0">
      <w:pPr>
        <w:pStyle w:val="IEEETableCaption"/>
      </w:pPr>
      <w:r>
        <w:t xml:space="preserve">TABLE </w:t>
      </w:r>
      <w:r w:rsidR="000F208B">
        <w:t>5</w:t>
      </w:r>
      <w:r>
        <w:br w:type="textWrapping" w:clear="all"/>
      </w:r>
      <w:r w:rsidR="007374CB" w:rsidRPr="007374CB">
        <w:t>Logistic-model hold-out metrics (threshold 0.5)</w:t>
      </w:r>
    </w:p>
    <w:tbl>
      <w:tblPr>
        <w:tblW w:w="5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0"/>
        <w:gridCol w:w="1794"/>
      </w:tblGrid>
      <w:tr w:rsidR="003B370D" w14:paraId="1C17A870" w14:textId="77777777" w:rsidTr="003B370D">
        <w:trPr>
          <w:trHeight w:val="233"/>
          <w:jc w:val="center"/>
        </w:trPr>
        <w:tc>
          <w:tcPr>
            <w:tcW w:w="3220" w:type="dxa"/>
          </w:tcPr>
          <w:p w14:paraId="2383598C" w14:textId="325F7621" w:rsidR="003B370D" w:rsidRPr="003B370D" w:rsidRDefault="003B370D" w:rsidP="003B370D">
            <w:pPr>
              <w:pStyle w:val="IEEETableCell"/>
              <w:rPr>
                <w:b/>
                <w:bCs/>
                <w:szCs w:val="18"/>
              </w:rPr>
            </w:pPr>
            <w:r w:rsidRPr="003B370D">
              <w:rPr>
                <w:b/>
                <w:bCs/>
                <w:szCs w:val="18"/>
              </w:rPr>
              <w:t>Metric</w:t>
            </w:r>
          </w:p>
        </w:tc>
        <w:tc>
          <w:tcPr>
            <w:tcW w:w="1794" w:type="dxa"/>
          </w:tcPr>
          <w:p w14:paraId="010F1E9D" w14:textId="26B74CB9" w:rsidR="003B370D" w:rsidRPr="00945C76" w:rsidRDefault="003B370D" w:rsidP="003B370D">
            <w:pPr>
              <w:pStyle w:val="IEEETableHeaderLeft-Justified"/>
              <w:rPr>
                <w:szCs w:val="18"/>
              </w:rPr>
            </w:pPr>
            <w:r w:rsidRPr="003B370D">
              <w:rPr>
                <w:szCs w:val="18"/>
              </w:rPr>
              <w:t>Value</w:t>
            </w:r>
          </w:p>
        </w:tc>
      </w:tr>
      <w:tr w:rsidR="003B370D" w14:paraId="1A673295" w14:textId="77777777" w:rsidTr="003B370D">
        <w:trPr>
          <w:trHeight w:val="269"/>
          <w:jc w:val="center"/>
        </w:trPr>
        <w:tc>
          <w:tcPr>
            <w:tcW w:w="3220" w:type="dxa"/>
          </w:tcPr>
          <w:p w14:paraId="52A59ED6" w14:textId="2C4BAE3F" w:rsidR="003B370D" w:rsidRPr="00945C76" w:rsidRDefault="003B370D" w:rsidP="003B370D">
            <w:pPr>
              <w:pStyle w:val="IEEETableCell"/>
              <w:rPr>
                <w:szCs w:val="18"/>
              </w:rPr>
            </w:pPr>
            <w:r>
              <w:rPr>
                <w:szCs w:val="18"/>
              </w:rPr>
              <w:t>Accuracy</w:t>
            </w:r>
          </w:p>
        </w:tc>
        <w:tc>
          <w:tcPr>
            <w:tcW w:w="1794" w:type="dxa"/>
          </w:tcPr>
          <w:p w14:paraId="36CB62E4" w14:textId="1D44DA51" w:rsidR="003B370D" w:rsidRPr="00945C76" w:rsidRDefault="003B370D" w:rsidP="003B370D">
            <w:pPr>
              <w:rPr>
                <w:sz w:val="18"/>
                <w:szCs w:val="18"/>
              </w:rPr>
            </w:pPr>
            <w:r>
              <w:rPr>
                <w:sz w:val="18"/>
                <w:szCs w:val="18"/>
              </w:rPr>
              <w:t>0.932</w:t>
            </w:r>
          </w:p>
        </w:tc>
      </w:tr>
      <w:tr w:rsidR="003B370D" w14:paraId="3812062F" w14:textId="77777777" w:rsidTr="003B370D">
        <w:trPr>
          <w:trHeight w:val="242"/>
          <w:jc w:val="center"/>
        </w:trPr>
        <w:tc>
          <w:tcPr>
            <w:tcW w:w="3220" w:type="dxa"/>
          </w:tcPr>
          <w:p w14:paraId="040C477D" w14:textId="0792D1C4" w:rsidR="003B370D" w:rsidRPr="00945C76" w:rsidRDefault="003B370D" w:rsidP="003B370D">
            <w:pPr>
              <w:pStyle w:val="IEEETableCell"/>
              <w:rPr>
                <w:szCs w:val="18"/>
              </w:rPr>
            </w:pPr>
            <w:r>
              <w:rPr>
                <w:szCs w:val="18"/>
              </w:rPr>
              <w:t>ROC AUC</w:t>
            </w:r>
          </w:p>
        </w:tc>
        <w:tc>
          <w:tcPr>
            <w:tcW w:w="1794" w:type="dxa"/>
          </w:tcPr>
          <w:p w14:paraId="661F3337" w14:textId="2F5E53ED" w:rsidR="003B370D" w:rsidRPr="00945C76" w:rsidRDefault="003B370D" w:rsidP="003B370D">
            <w:pPr>
              <w:rPr>
                <w:sz w:val="18"/>
                <w:szCs w:val="18"/>
              </w:rPr>
            </w:pPr>
            <w:r>
              <w:rPr>
                <w:sz w:val="18"/>
                <w:szCs w:val="18"/>
              </w:rPr>
              <w:t>0.975</w:t>
            </w:r>
          </w:p>
        </w:tc>
      </w:tr>
    </w:tbl>
    <w:p w14:paraId="1426C4E5" w14:textId="77777777" w:rsidR="003577F0" w:rsidRDefault="003577F0" w:rsidP="003577F0">
      <w:pPr>
        <w:pStyle w:val="IEEEParagraph"/>
        <w:ind w:firstLine="0"/>
      </w:pPr>
    </w:p>
    <w:p w14:paraId="4A2C85CE" w14:textId="1945CD6B" w:rsidR="003577F0" w:rsidRPr="003577F0" w:rsidRDefault="00412FC6" w:rsidP="003B370D">
      <w:pPr>
        <w:pStyle w:val="IEEEParagraph"/>
      </w:pPr>
      <w:r w:rsidRPr="00412FC6">
        <w:rPr>
          <w:rFonts w:hint="eastAsia"/>
        </w:rPr>
        <w:t xml:space="preserve">Confusion matrix (columns = Truth, rows = Prediction): 92 TP, 32 TN, 7 FP, 2 FN </w:t>
      </w:r>
      <w:r w:rsidRPr="00412FC6">
        <w:rPr>
          <w:rFonts w:hint="eastAsia"/>
        </w:rPr>
        <w:t>→</w:t>
      </w:r>
      <w:r w:rsidRPr="00412FC6">
        <w:rPr>
          <w:rFonts w:hint="eastAsia"/>
        </w:rPr>
        <w:t xml:space="preserve"> false-negative rate </w:t>
      </w:r>
      <w:r w:rsidRPr="00412FC6">
        <w:rPr>
          <w:rFonts w:hint="eastAsia"/>
        </w:rPr>
        <w:t>≈</w:t>
      </w:r>
      <w:r w:rsidRPr="00412FC6">
        <w:rPr>
          <w:rFonts w:hint="eastAsia"/>
        </w:rPr>
        <w:t xml:space="preserve"> 2</w:t>
      </w:r>
      <w:r>
        <w:t xml:space="preserve"> </w:t>
      </w:r>
      <w:r w:rsidR="003B370D">
        <w:rPr>
          <w:rFonts w:hint="eastAsia"/>
        </w:rPr>
        <w:t>%.</w:t>
      </w:r>
    </w:p>
    <w:p w14:paraId="0C4947D9" w14:textId="09C050B9" w:rsidR="008B3178" w:rsidRDefault="008B3178" w:rsidP="008B3178">
      <w:pPr>
        <w:pStyle w:val="IEEETableCaption"/>
      </w:pPr>
      <w:r>
        <w:t xml:space="preserve">TABLE </w:t>
      </w:r>
      <w:r w:rsidR="000F208B">
        <w:t>6</w:t>
      </w:r>
      <w:r>
        <w:br w:type="textWrapping" w:clear="all"/>
      </w:r>
      <w:r w:rsidR="007374CB" w:rsidRPr="007374CB">
        <w:t>Significant effects on failing odds</w:t>
      </w:r>
    </w:p>
    <w:tbl>
      <w:tblPr>
        <w:tblW w:w="5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7"/>
        <w:gridCol w:w="900"/>
        <w:gridCol w:w="1375"/>
      </w:tblGrid>
      <w:tr w:rsidR="003B370D" w14:paraId="52E47F08" w14:textId="77777777" w:rsidTr="007374CB">
        <w:trPr>
          <w:trHeight w:val="233"/>
          <w:jc w:val="center"/>
        </w:trPr>
        <w:tc>
          <w:tcPr>
            <w:tcW w:w="2747" w:type="dxa"/>
          </w:tcPr>
          <w:p w14:paraId="725601BB" w14:textId="13F12430" w:rsidR="003B370D" w:rsidRPr="00945C76" w:rsidRDefault="003B370D" w:rsidP="00945C76">
            <w:pPr>
              <w:pStyle w:val="IEEETableCell"/>
              <w:rPr>
                <w:b/>
                <w:bCs/>
                <w:szCs w:val="18"/>
              </w:rPr>
            </w:pPr>
            <w:r w:rsidRPr="003B370D">
              <w:rPr>
                <w:b/>
                <w:bCs/>
                <w:szCs w:val="18"/>
              </w:rPr>
              <w:t>Predictor (odds ratio)</w:t>
            </w:r>
          </w:p>
        </w:tc>
        <w:tc>
          <w:tcPr>
            <w:tcW w:w="900" w:type="dxa"/>
          </w:tcPr>
          <w:p w14:paraId="688D6216" w14:textId="73CEF2ED" w:rsidR="003B370D" w:rsidRPr="00945C76" w:rsidRDefault="003B370D" w:rsidP="00945C76">
            <w:pPr>
              <w:pStyle w:val="IEEETableHeaderLeft-Justified"/>
              <w:rPr>
                <w:szCs w:val="18"/>
              </w:rPr>
            </w:pPr>
            <w:r w:rsidRPr="003B370D">
              <w:rPr>
                <w:szCs w:val="18"/>
              </w:rPr>
              <w:t>OR</w:t>
            </w:r>
          </w:p>
        </w:tc>
        <w:tc>
          <w:tcPr>
            <w:tcW w:w="1375" w:type="dxa"/>
          </w:tcPr>
          <w:p w14:paraId="12F8C946" w14:textId="637D81F0" w:rsidR="003B370D" w:rsidRPr="00945C76" w:rsidRDefault="003B370D" w:rsidP="00945C76">
            <w:pPr>
              <w:pStyle w:val="IEEETableHeaderLeft-Justified"/>
              <w:rPr>
                <w:szCs w:val="18"/>
              </w:rPr>
            </w:pPr>
            <w:r w:rsidRPr="003B370D">
              <w:rPr>
                <w:szCs w:val="18"/>
              </w:rPr>
              <w:t>p</w:t>
            </w:r>
          </w:p>
        </w:tc>
      </w:tr>
      <w:tr w:rsidR="003B370D" w14:paraId="004224D6" w14:textId="77777777" w:rsidTr="007374CB">
        <w:trPr>
          <w:trHeight w:val="269"/>
          <w:jc w:val="center"/>
        </w:trPr>
        <w:tc>
          <w:tcPr>
            <w:tcW w:w="2747" w:type="dxa"/>
          </w:tcPr>
          <w:p w14:paraId="22EA312C" w14:textId="0F67B4BE" w:rsidR="003B370D" w:rsidRPr="00945C76" w:rsidRDefault="007374CB" w:rsidP="00945C76">
            <w:pPr>
              <w:pStyle w:val="IEEETableCell"/>
              <w:rPr>
                <w:szCs w:val="18"/>
              </w:rPr>
            </w:pPr>
            <w:r>
              <w:rPr>
                <w:szCs w:val="18"/>
              </w:rPr>
              <w:t>G2</w:t>
            </w:r>
          </w:p>
        </w:tc>
        <w:tc>
          <w:tcPr>
            <w:tcW w:w="900" w:type="dxa"/>
          </w:tcPr>
          <w:p w14:paraId="0D6D219B" w14:textId="00D21C5E" w:rsidR="003B370D" w:rsidRPr="00945C76" w:rsidRDefault="007374CB" w:rsidP="00945C76">
            <w:pPr>
              <w:rPr>
                <w:sz w:val="18"/>
                <w:szCs w:val="18"/>
              </w:rPr>
            </w:pPr>
            <w:r>
              <w:rPr>
                <w:sz w:val="18"/>
                <w:szCs w:val="18"/>
              </w:rPr>
              <w:t>0.0</w:t>
            </w:r>
            <w:r w:rsidR="00863B5C">
              <w:rPr>
                <w:sz w:val="18"/>
                <w:szCs w:val="18"/>
              </w:rPr>
              <w:t>2</w:t>
            </w:r>
          </w:p>
        </w:tc>
        <w:tc>
          <w:tcPr>
            <w:tcW w:w="1375" w:type="dxa"/>
          </w:tcPr>
          <w:p w14:paraId="2EAEE8C3" w14:textId="5C30A3B0" w:rsidR="003B370D" w:rsidRPr="00945C76" w:rsidRDefault="007374CB" w:rsidP="00945C76">
            <w:pPr>
              <w:rPr>
                <w:sz w:val="18"/>
                <w:szCs w:val="18"/>
              </w:rPr>
            </w:pPr>
            <w:r w:rsidRPr="007374CB">
              <w:rPr>
                <w:sz w:val="18"/>
                <w:szCs w:val="18"/>
              </w:rPr>
              <w:t>&lt;2 × 10⁻¹³</w:t>
            </w:r>
          </w:p>
        </w:tc>
      </w:tr>
      <w:tr w:rsidR="003B370D" w14:paraId="1AD42736" w14:textId="77777777" w:rsidTr="007374CB">
        <w:trPr>
          <w:trHeight w:val="440"/>
          <w:jc w:val="center"/>
        </w:trPr>
        <w:tc>
          <w:tcPr>
            <w:tcW w:w="2747" w:type="dxa"/>
          </w:tcPr>
          <w:p w14:paraId="048BDE9E" w14:textId="188D8590" w:rsidR="003B370D" w:rsidRPr="00945C76" w:rsidRDefault="007374CB" w:rsidP="00945C76">
            <w:pPr>
              <w:pStyle w:val="IEEETableCell"/>
              <w:rPr>
                <w:szCs w:val="18"/>
              </w:rPr>
            </w:pPr>
            <w:r w:rsidRPr="00945C76">
              <w:rPr>
                <w:szCs w:val="18"/>
              </w:rPr>
              <w:t>G</w:t>
            </w:r>
            <w:r>
              <w:rPr>
                <w:szCs w:val="18"/>
              </w:rPr>
              <w:t>1</w:t>
            </w:r>
          </w:p>
        </w:tc>
        <w:tc>
          <w:tcPr>
            <w:tcW w:w="900" w:type="dxa"/>
          </w:tcPr>
          <w:p w14:paraId="04E801B6" w14:textId="667623B3" w:rsidR="003B370D" w:rsidRPr="00945C76" w:rsidRDefault="007374CB" w:rsidP="00945C76">
            <w:pPr>
              <w:rPr>
                <w:sz w:val="18"/>
                <w:szCs w:val="18"/>
              </w:rPr>
            </w:pPr>
            <w:r>
              <w:rPr>
                <w:sz w:val="18"/>
                <w:szCs w:val="18"/>
              </w:rPr>
              <w:t>0.34</w:t>
            </w:r>
          </w:p>
        </w:tc>
        <w:tc>
          <w:tcPr>
            <w:tcW w:w="1375" w:type="dxa"/>
          </w:tcPr>
          <w:p w14:paraId="53964857" w14:textId="7C467D9D" w:rsidR="003B370D" w:rsidRPr="00945C76" w:rsidRDefault="007374CB" w:rsidP="00945C76">
            <w:pPr>
              <w:pStyle w:val="IEEETableCell"/>
              <w:rPr>
                <w:szCs w:val="18"/>
              </w:rPr>
            </w:pPr>
            <w:r>
              <w:rPr>
                <w:szCs w:val="18"/>
              </w:rPr>
              <w:t>0.006</w:t>
            </w:r>
          </w:p>
        </w:tc>
      </w:tr>
      <w:tr w:rsidR="003B370D" w14:paraId="63D909E4" w14:textId="77777777" w:rsidTr="007374CB">
        <w:trPr>
          <w:trHeight w:val="260"/>
          <w:jc w:val="center"/>
        </w:trPr>
        <w:tc>
          <w:tcPr>
            <w:tcW w:w="2747" w:type="dxa"/>
          </w:tcPr>
          <w:p w14:paraId="57F111E4" w14:textId="3129E668" w:rsidR="003B370D" w:rsidRPr="00945C76" w:rsidRDefault="007374CB" w:rsidP="00945C76">
            <w:pPr>
              <w:pStyle w:val="IEEETableCell"/>
              <w:rPr>
                <w:szCs w:val="18"/>
              </w:rPr>
            </w:pPr>
            <w:r>
              <w:rPr>
                <w:szCs w:val="18"/>
              </w:rPr>
              <w:t>Absences</w:t>
            </w:r>
          </w:p>
        </w:tc>
        <w:tc>
          <w:tcPr>
            <w:tcW w:w="900" w:type="dxa"/>
          </w:tcPr>
          <w:p w14:paraId="56483869" w14:textId="51037E91" w:rsidR="003B370D" w:rsidRPr="00945C76" w:rsidRDefault="007374CB" w:rsidP="00945C76">
            <w:pPr>
              <w:rPr>
                <w:sz w:val="18"/>
                <w:szCs w:val="18"/>
              </w:rPr>
            </w:pPr>
            <w:r>
              <w:rPr>
                <w:sz w:val="18"/>
                <w:szCs w:val="18"/>
              </w:rPr>
              <w:t>1.39</w:t>
            </w:r>
          </w:p>
        </w:tc>
        <w:tc>
          <w:tcPr>
            <w:tcW w:w="1375" w:type="dxa"/>
          </w:tcPr>
          <w:p w14:paraId="2BA8F328" w14:textId="373E57F6" w:rsidR="003B370D" w:rsidRPr="00945C76" w:rsidRDefault="007374CB" w:rsidP="00945C76">
            <w:pPr>
              <w:pStyle w:val="IEEETableCell"/>
              <w:rPr>
                <w:szCs w:val="18"/>
              </w:rPr>
            </w:pPr>
            <w:r>
              <w:rPr>
                <w:szCs w:val="18"/>
              </w:rPr>
              <w:t>0.050</w:t>
            </w:r>
          </w:p>
        </w:tc>
      </w:tr>
      <w:tr w:rsidR="003B370D" w14:paraId="329F57AA" w14:textId="77777777" w:rsidTr="007374CB">
        <w:trPr>
          <w:trHeight w:val="334"/>
          <w:jc w:val="center"/>
        </w:trPr>
        <w:tc>
          <w:tcPr>
            <w:tcW w:w="2747" w:type="dxa"/>
          </w:tcPr>
          <w:p w14:paraId="185D5FD9" w14:textId="6D473AA1" w:rsidR="003B370D" w:rsidRPr="00945C76" w:rsidRDefault="007374CB" w:rsidP="00945C76">
            <w:pPr>
              <w:pStyle w:val="IEEETableCell"/>
              <w:rPr>
                <w:szCs w:val="18"/>
              </w:rPr>
            </w:pPr>
            <w:r>
              <w:rPr>
                <w:szCs w:val="18"/>
              </w:rPr>
              <w:t>(others)</w:t>
            </w:r>
          </w:p>
        </w:tc>
        <w:tc>
          <w:tcPr>
            <w:tcW w:w="900" w:type="dxa"/>
          </w:tcPr>
          <w:p w14:paraId="5132D083" w14:textId="0E1B6682" w:rsidR="003B370D" w:rsidRPr="00945C76" w:rsidRDefault="007374CB" w:rsidP="00945C76">
            <w:pPr>
              <w:pStyle w:val="IEEETableCell"/>
              <w:rPr>
                <w:szCs w:val="18"/>
              </w:rPr>
            </w:pPr>
            <w:r>
              <w:rPr>
                <w:szCs w:val="18"/>
              </w:rPr>
              <w:t>-</w:t>
            </w:r>
          </w:p>
        </w:tc>
        <w:tc>
          <w:tcPr>
            <w:tcW w:w="1375" w:type="dxa"/>
          </w:tcPr>
          <w:p w14:paraId="257612C6" w14:textId="4CC9823D" w:rsidR="003B370D" w:rsidRPr="00945C76" w:rsidRDefault="007374CB" w:rsidP="00945C76">
            <w:pPr>
              <w:rPr>
                <w:sz w:val="18"/>
                <w:szCs w:val="18"/>
              </w:rPr>
            </w:pPr>
            <w:r>
              <w:rPr>
                <w:sz w:val="18"/>
                <w:szCs w:val="18"/>
              </w:rPr>
              <w:t>&gt;0.10</w:t>
            </w:r>
          </w:p>
        </w:tc>
      </w:tr>
    </w:tbl>
    <w:p w14:paraId="2AD00E32" w14:textId="77777777" w:rsidR="00432A7C" w:rsidRDefault="00432A7C" w:rsidP="003B370D">
      <w:pPr>
        <w:pStyle w:val="IEEEParagraph"/>
        <w:ind w:firstLine="0"/>
        <w:rPr>
          <w:lang w:val="en-GB"/>
        </w:rPr>
      </w:pPr>
    </w:p>
    <w:p w14:paraId="45640712" w14:textId="5D4F1336" w:rsidR="008B3178" w:rsidRPr="007374CB" w:rsidRDefault="007374CB" w:rsidP="007374CB">
      <w:pPr>
        <w:pStyle w:val="IEEEParagraph"/>
        <w:rPr>
          <w:lang w:val="en-US"/>
        </w:rPr>
      </w:pPr>
      <w:r>
        <w:rPr>
          <w:lang w:val="en-US"/>
        </w:rPr>
        <w:t xml:space="preserve">Once </w:t>
      </w:r>
      <w:r w:rsidRPr="007374CB">
        <w:rPr>
          <w:lang w:val="en-US"/>
        </w:rPr>
        <w:t>G2 is known the outcome is near-deterministic; each extra absence marginally increases failure risk, making attendance the only actionable lifestyle factor.</w:t>
      </w:r>
    </w:p>
    <w:p w14:paraId="243A8BD6" w14:textId="0AA22DD1" w:rsidR="00F967E0" w:rsidRDefault="00F967E0" w:rsidP="00F967E0">
      <w:pPr>
        <w:pStyle w:val="IEEEHeading2"/>
        <w:numPr>
          <w:ilvl w:val="0"/>
          <w:numId w:val="0"/>
        </w:numPr>
        <w:ind w:left="288" w:hanging="288"/>
      </w:pPr>
      <w:r>
        <w:t xml:space="preserve">D. </w:t>
      </w:r>
      <w:r w:rsidR="007374CB" w:rsidRPr="007374CB">
        <w:t>Unsupervised Clustering</w:t>
      </w:r>
    </w:p>
    <w:p w14:paraId="2CA5A34B" w14:textId="4505474E" w:rsidR="00F967E0" w:rsidRDefault="007374CB" w:rsidP="00F967E0">
      <w:pPr>
        <w:pStyle w:val="IEEEFigure"/>
      </w:pPr>
      <w:r w:rsidRPr="000F6EFE">
        <w:rPr>
          <w:noProof/>
        </w:rPr>
        <w:lastRenderedPageBreak/>
        <w:pict w14:anchorId="7FE72790">
          <v:shape id="_x0000_i1133" type="#_x0000_t75" style="width:251.55pt;height:151.5pt;visibility:visible;mso-wrap-style:square">
            <v:imagedata r:id="rId10" o:title=""/>
          </v:shape>
        </w:pict>
      </w:r>
    </w:p>
    <w:p w14:paraId="06CDE799" w14:textId="38E952C8" w:rsidR="00F967E0" w:rsidRDefault="00F967E0" w:rsidP="00F967E0">
      <w:pPr>
        <w:pStyle w:val="IEEEFigureCaptionSingle-Line"/>
      </w:pPr>
      <w:r>
        <w:t xml:space="preserve">Fig. </w:t>
      </w:r>
      <w:r>
        <w:t>5</w:t>
      </w:r>
      <w:r w:rsidR="007374CB">
        <w:t>a.</w:t>
      </w:r>
      <w:r w:rsidR="007374CB" w:rsidRPr="007374CB">
        <w:t xml:space="preserve"> </w:t>
      </w:r>
      <w:r w:rsidR="007374CB" w:rsidRPr="007374CB">
        <w:t>Elbow curve and 5b</w:t>
      </w:r>
      <w:r w:rsidR="007374CB">
        <w:t xml:space="preserve">. </w:t>
      </w:r>
      <w:r w:rsidR="007374CB" w:rsidRPr="007374CB">
        <w:t>Average silhouette both select k = 3</w:t>
      </w:r>
    </w:p>
    <w:p w14:paraId="76A8752F" w14:textId="77777777" w:rsidR="00BC5D05" w:rsidRPr="00BC5D05" w:rsidRDefault="00BC5D05" w:rsidP="00B44292">
      <w:pPr>
        <w:pStyle w:val="IEEEParagraph"/>
        <w:ind w:firstLine="0"/>
      </w:pPr>
    </w:p>
    <w:p w14:paraId="7D5F42FE" w14:textId="703B44CA" w:rsidR="00F967E0" w:rsidRDefault="000A31AA" w:rsidP="00F967E0">
      <w:pPr>
        <w:pStyle w:val="IEEEFigure"/>
      </w:pPr>
      <w:r>
        <w:rPr>
          <w:noProof/>
        </w:rPr>
      </w:r>
      <w:r>
        <w:pict w14:anchorId="62AE31BC">
          <v:shape id="_x0000_s1192" type="#_x0000_t75" style="width:250.7pt;height:161.2pt;mso-left-percent:-10001;mso-top-percent:-10001;mso-position-horizontal:absolute;mso-position-horizontal-relative:char;mso-position-vertical:absolute;mso-position-vertical-relative:line;mso-left-percent:-10001;mso-top-percent:-10001">
            <v:imagedata r:id="rId11" o:title=""/>
            <w10:anchorlock/>
          </v:shape>
        </w:pict>
      </w:r>
    </w:p>
    <w:p w14:paraId="72A87CDE" w14:textId="4A23D73D" w:rsidR="00BC5D05" w:rsidRPr="00BC5D05" w:rsidRDefault="00F967E0" w:rsidP="00863B5C">
      <w:pPr>
        <w:pStyle w:val="IEEEFigureCaptionSingle-Line"/>
      </w:pPr>
      <w:r>
        <w:t xml:space="preserve">Fig. </w:t>
      </w:r>
      <w:r w:rsidR="00B47583" w:rsidRPr="00B47583">
        <w:t>6</w:t>
      </w:r>
      <w:r w:rsidR="00B47583">
        <w:t xml:space="preserve">. </w:t>
      </w:r>
      <w:r w:rsidR="00B47583" w:rsidRPr="00B47583">
        <w:t>k-means cluster projection (PCA plane)</w:t>
      </w:r>
    </w:p>
    <w:p w14:paraId="5A0C2E5F" w14:textId="206EC21A" w:rsidR="00F967E0" w:rsidRDefault="00F967E0" w:rsidP="00F967E0">
      <w:pPr>
        <w:pStyle w:val="IEEEParagraph"/>
        <w:rPr>
          <w:lang w:val="en-US"/>
        </w:rPr>
      </w:pPr>
      <w:r w:rsidRPr="00F967E0">
        <w:rPr>
          <w:lang w:val="en-US"/>
        </w:rPr>
        <w:t>Scaled features (grades, failures, absences, alcohol, study time, go-out) separate into visibly compact clouds with minimal overlap, validating cohesion.</w:t>
      </w:r>
    </w:p>
    <w:p w14:paraId="78F8CB7D" w14:textId="4AED42C1" w:rsidR="00F967E0" w:rsidRDefault="00F967E0" w:rsidP="00F967E0">
      <w:pPr>
        <w:pStyle w:val="IEEETableCaption"/>
      </w:pPr>
      <w:r>
        <w:t xml:space="preserve">TABLE </w:t>
      </w:r>
      <w:r w:rsidR="000F208B">
        <w:t>7</w:t>
      </w:r>
      <w:r>
        <w:br w:type="textWrapping" w:clear="all"/>
      </w:r>
      <w:r w:rsidRPr="00F967E0">
        <w:t>Cluster Profiles</w:t>
      </w:r>
      <w:r w:rsidR="000A31AA">
        <w:t xml:space="preserve"> (Z-Scored Variables)</w:t>
      </w:r>
    </w:p>
    <w:tbl>
      <w:tblPr>
        <w:tblW w:w="5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540"/>
        <w:gridCol w:w="1080"/>
        <w:gridCol w:w="1080"/>
        <w:gridCol w:w="1324"/>
      </w:tblGrid>
      <w:tr w:rsidR="00CB4D89" w14:paraId="0ABE9B3F" w14:textId="77777777" w:rsidTr="00CB4D89">
        <w:trPr>
          <w:trHeight w:val="233"/>
          <w:jc w:val="center"/>
        </w:trPr>
        <w:tc>
          <w:tcPr>
            <w:tcW w:w="983" w:type="dxa"/>
          </w:tcPr>
          <w:p w14:paraId="7BA364BB" w14:textId="025B9B44" w:rsidR="00F967E0" w:rsidRPr="00F967E0" w:rsidRDefault="00F967E0" w:rsidP="000F208B">
            <w:pPr>
              <w:pStyle w:val="IEEETableCell"/>
              <w:rPr>
                <w:b/>
                <w:bCs/>
                <w:szCs w:val="18"/>
              </w:rPr>
            </w:pPr>
            <w:r w:rsidRPr="00F967E0">
              <w:rPr>
                <w:b/>
                <w:bCs/>
                <w:szCs w:val="18"/>
              </w:rPr>
              <w:t>Cluster</w:t>
            </w:r>
          </w:p>
        </w:tc>
        <w:tc>
          <w:tcPr>
            <w:tcW w:w="540" w:type="dxa"/>
          </w:tcPr>
          <w:p w14:paraId="465C508C" w14:textId="7AA365D8" w:rsidR="00F967E0" w:rsidRPr="00F967E0" w:rsidRDefault="00F967E0" w:rsidP="000F208B">
            <w:pPr>
              <w:pStyle w:val="IEEETableHeaderLeft-Justified"/>
              <w:rPr>
                <w:szCs w:val="18"/>
              </w:rPr>
            </w:pPr>
            <w:r w:rsidRPr="00F967E0">
              <w:rPr>
                <w:szCs w:val="18"/>
              </w:rPr>
              <w:t>Size</w:t>
            </w:r>
          </w:p>
        </w:tc>
        <w:tc>
          <w:tcPr>
            <w:tcW w:w="1080" w:type="dxa"/>
          </w:tcPr>
          <w:p w14:paraId="5E8AD304" w14:textId="535FBE69" w:rsidR="00F967E0" w:rsidRPr="00F967E0" w:rsidRDefault="000A31AA" w:rsidP="000F208B">
            <w:pPr>
              <w:pStyle w:val="IEEETableHeaderLeft-Justified"/>
              <w:rPr>
                <w:szCs w:val="18"/>
              </w:rPr>
            </w:pPr>
            <w:r w:rsidRPr="000A31AA">
              <w:rPr>
                <w:szCs w:val="18"/>
              </w:rPr>
              <w:t>Mean G3</w:t>
            </w:r>
          </w:p>
        </w:tc>
        <w:tc>
          <w:tcPr>
            <w:tcW w:w="1080" w:type="dxa"/>
          </w:tcPr>
          <w:p w14:paraId="0ECE1739" w14:textId="633DC631" w:rsidR="00F967E0" w:rsidRPr="00F967E0" w:rsidRDefault="000A31AA" w:rsidP="000F208B">
            <w:pPr>
              <w:rPr>
                <w:b/>
                <w:bCs/>
                <w:sz w:val="18"/>
                <w:szCs w:val="18"/>
              </w:rPr>
            </w:pPr>
            <w:r w:rsidRPr="000A31AA">
              <w:rPr>
                <w:b/>
                <w:bCs/>
                <w:sz w:val="18"/>
                <w:szCs w:val="18"/>
              </w:rPr>
              <w:t>Key traits</w:t>
            </w:r>
          </w:p>
        </w:tc>
        <w:tc>
          <w:tcPr>
            <w:tcW w:w="1324" w:type="dxa"/>
          </w:tcPr>
          <w:p w14:paraId="135DA639" w14:textId="5B3540FB" w:rsidR="00F967E0" w:rsidRPr="00F967E0" w:rsidRDefault="00F967E0" w:rsidP="000F208B">
            <w:pPr>
              <w:rPr>
                <w:b/>
                <w:bCs/>
                <w:sz w:val="18"/>
                <w:szCs w:val="18"/>
              </w:rPr>
            </w:pPr>
            <w:r w:rsidRPr="00F967E0">
              <w:rPr>
                <w:b/>
                <w:bCs/>
                <w:sz w:val="18"/>
                <w:szCs w:val="18"/>
              </w:rPr>
              <w:t>Risk Profile</w:t>
            </w:r>
          </w:p>
        </w:tc>
      </w:tr>
      <w:tr w:rsidR="00CB4D89" w14:paraId="760AC7E1" w14:textId="77777777" w:rsidTr="00CB4D89">
        <w:trPr>
          <w:trHeight w:val="269"/>
          <w:jc w:val="center"/>
        </w:trPr>
        <w:tc>
          <w:tcPr>
            <w:tcW w:w="983" w:type="dxa"/>
          </w:tcPr>
          <w:p w14:paraId="4D567EC0" w14:textId="297B6F84" w:rsidR="00F967E0" w:rsidRPr="00F967E0" w:rsidRDefault="00F967E0" w:rsidP="000F208B">
            <w:pPr>
              <w:pStyle w:val="IEEETableCell"/>
              <w:rPr>
                <w:szCs w:val="18"/>
              </w:rPr>
            </w:pPr>
            <w:r w:rsidRPr="00F967E0">
              <w:rPr>
                <w:rFonts w:hint="eastAsia"/>
                <w:szCs w:val="18"/>
              </w:rPr>
              <w:t>1 (blue)</w:t>
            </w:r>
          </w:p>
        </w:tc>
        <w:tc>
          <w:tcPr>
            <w:tcW w:w="540" w:type="dxa"/>
          </w:tcPr>
          <w:p w14:paraId="0A4974CE" w14:textId="1A70C214" w:rsidR="00F967E0" w:rsidRPr="00F967E0" w:rsidRDefault="000A31AA" w:rsidP="000F208B">
            <w:pPr>
              <w:rPr>
                <w:sz w:val="18"/>
                <w:szCs w:val="18"/>
              </w:rPr>
            </w:pPr>
            <w:r w:rsidRPr="000A31AA">
              <w:rPr>
                <w:sz w:val="18"/>
                <w:szCs w:val="18"/>
              </w:rPr>
              <w:t>395</w:t>
            </w:r>
          </w:p>
        </w:tc>
        <w:tc>
          <w:tcPr>
            <w:tcW w:w="1080" w:type="dxa"/>
          </w:tcPr>
          <w:p w14:paraId="3F12A946" w14:textId="2F840D72" w:rsidR="00F967E0" w:rsidRPr="00F967E0" w:rsidRDefault="00F967E0" w:rsidP="000F208B">
            <w:pPr>
              <w:rPr>
                <w:sz w:val="18"/>
                <w:szCs w:val="18"/>
              </w:rPr>
            </w:pPr>
            <w:r w:rsidRPr="00F967E0">
              <w:rPr>
                <w:rFonts w:hint="eastAsia"/>
                <w:sz w:val="18"/>
                <w:szCs w:val="18"/>
              </w:rPr>
              <w:t xml:space="preserve">G3 </w:t>
            </w:r>
            <w:r w:rsidRPr="00F967E0">
              <w:rPr>
                <w:rFonts w:hint="eastAsia"/>
                <w:sz w:val="18"/>
                <w:szCs w:val="18"/>
              </w:rPr>
              <w:t>≈</w:t>
            </w:r>
            <w:r w:rsidRPr="00F967E0">
              <w:rPr>
                <w:rFonts w:hint="eastAsia"/>
                <w:sz w:val="18"/>
                <w:szCs w:val="18"/>
              </w:rPr>
              <w:t xml:space="preserve"> 12.6</w:t>
            </w:r>
          </w:p>
        </w:tc>
        <w:tc>
          <w:tcPr>
            <w:tcW w:w="1080" w:type="dxa"/>
          </w:tcPr>
          <w:p w14:paraId="49F4C33D" w14:textId="6AB387E9" w:rsidR="00F967E0" w:rsidRPr="00F967E0" w:rsidRDefault="000A31AA" w:rsidP="000F208B">
            <w:pPr>
              <w:rPr>
                <w:sz w:val="18"/>
                <w:szCs w:val="18"/>
              </w:rPr>
            </w:pPr>
            <w:r w:rsidRPr="000A31AA">
              <w:rPr>
                <w:sz w:val="18"/>
                <w:szCs w:val="18"/>
              </w:rPr>
              <w:t>Few failures, moderate study-time</w:t>
            </w:r>
          </w:p>
        </w:tc>
        <w:tc>
          <w:tcPr>
            <w:tcW w:w="1324" w:type="dxa"/>
          </w:tcPr>
          <w:p w14:paraId="4DF2C8B6" w14:textId="36364F4B" w:rsidR="00F967E0" w:rsidRPr="00F967E0" w:rsidRDefault="000A31AA" w:rsidP="000F208B">
            <w:pPr>
              <w:rPr>
                <w:sz w:val="18"/>
                <w:szCs w:val="18"/>
              </w:rPr>
            </w:pPr>
            <w:r w:rsidRPr="000A31AA">
              <w:rPr>
                <w:sz w:val="18"/>
                <w:szCs w:val="18"/>
              </w:rPr>
              <w:t>“Solid performers”</w:t>
            </w:r>
          </w:p>
        </w:tc>
      </w:tr>
      <w:tr w:rsidR="00CB4D89" w14:paraId="1F2CB663" w14:textId="77777777" w:rsidTr="00CB4D89">
        <w:trPr>
          <w:trHeight w:val="1133"/>
          <w:jc w:val="center"/>
        </w:trPr>
        <w:tc>
          <w:tcPr>
            <w:tcW w:w="983" w:type="dxa"/>
          </w:tcPr>
          <w:p w14:paraId="16A2F3CF" w14:textId="2E810716" w:rsidR="00F967E0" w:rsidRPr="00F967E0" w:rsidRDefault="00F967E0" w:rsidP="000F208B">
            <w:pPr>
              <w:pStyle w:val="IEEETableCell"/>
              <w:rPr>
                <w:szCs w:val="18"/>
              </w:rPr>
            </w:pPr>
            <w:r w:rsidRPr="00F967E0">
              <w:rPr>
                <w:rFonts w:hint="eastAsia"/>
                <w:szCs w:val="18"/>
              </w:rPr>
              <w:t>2 (yellow)</w:t>
            </w:r>
          </w:p>
        </w:tc>
        <w:tc>
          <w:tcPr>
            <w:tcW w:w="540" w:type="dxa"/>
          </w:tcPr>
          <w:p w14:paraId="0470036D" w14:textId="2563BB8A" w:rsidR="00F967E0" w:rsidRPr="00F967E0" w:rsidRDefault="000A31AA" w:rsidP="000F208B">
            <w:pPr>
              <w:rPr>
                <w:sz w:val="18"/>
                <w:szCs w:val="18"/>
              </w:rPr>
            </w:pPr>
            <w:r w:rsidRPr="000A31AA">
              <w:rPr>
                <w:sz w:val="18"/>
                <w:szCs w:val="18"/>
              </w:rPr>
              <w:t>101</w:t>
            </w:r>
          </w:p>
        </w:tc>
        <w:tc>
          <w:tcPr>
            <w:tcW w:w="1080" w:type="dxa"/>
          </w:tcPr>
          <w:p w14:paraId="58401B0D" w14:textId="728EA46C" w:rsidR="00F967E0" w:rsidRPr="00F967E0" w:rsidRDefault="00F967E0" w:rsidP="000F208B">
            <w:pPr>
              <w:pStyle w:val="IEEETableCell"/>
              <w:rPr>
                <w:szCs w:val="18"/>
              </w:rPr>
            </w:pPr>
            <w:r w:rsidRPr="00F967E0">
              <w:rPr>
                <w:rFonts w:hint="eastAsia"/>
                <w:szCs w:val="18"/>
              </w:rPr>
              <w:t xml:space="preserve">G3 </w:t>
            </w:r>
            <w:r w:rsidRPr="00F967E0">
              <w:rPr>
                <w:rFonts w:hint="eastAsia"/>
                <w:szCs w:val="18"/>
              </w:rPr>
              <w:t>≈</w:t>
            </w:r>
            <w:r w:rsidRPr="00F967E0">
              <w:rPr>
                <w:rFonts w:hint="eastAsia"/>
                <w:szCs w:val="18"/>
              </w:rPr>
              <w:t xml:space="preserve"> 10.</w:t>
            </w:r>
            <w:r w:rsidR="000A31AA">
              <w:rPr>
                <w:szCs w:val="18"/>
              </w:rPr>
              <w:t>5</w:t>
            </w:r>
          </w:p>
        </w:tc>
        <w:tc>
          <w:tcPr>
            <w:tcW w:w="1080" w:type="dxa"/>
          </w:tcPr>
          <w:p w14:paraId="2E5AB33E" w14:textId="1E2F67D0" w:rsidR="00F967E0" w:rsidRPr="00F967E0" w:rsidRDefault="00F967E0" w:rsidP="000F208B">
            <w:pPr>
              <w:rPr>
                <w:sz w:val="18"/>
                <w:szCs w:val="18"/>
              </w:rPr>
            </w:pPr>
            <w:r w:rsidRPr="00F967E0">
              <w:rPr>
                <w:rFonts w:hint="eastAsia"/>
                <w:sz w:val="18"/>
                <w:szCs w:val="18"/>
              </w:rPr>
              <w:t xml:space="preserve">Low </w:t>
            </w:r>
            <w:proofErr w:type="spellStart"/>
            <w:r w:rsidRPr="00F967E0">
              <w:rPr>
                <w:rFonts w:hint="eastAsia"/>
                <w:sz w:val="18"/>
                <w:szCs w:val="18"/>
              </w:rPr>
              <w:t>studytime</w:t>
            </w:r>
            <w:proofErr w:type="spellEnd"/>
            <w:r w:rsidRPr="00F967E0">
              <w:rPr>
                <w:rFonts w:hint="eastAsia"/>
                <w:sz w:val="18"/>
                <w:szCs w:val="18"/>
              </w:rPr>
              <w:t>, highest go-out / alcohol</w:t>
            </w:r>
          </w:p>
        </w:tc>
        <w:tc>
          <w:tcPr>
            <w:tcW w:w="1324" w:type="dxa"/>
          </w:tcPr>
          <w:p w14:paraId="689B0C1D" w14:textId="62C4C040" w:rsidR="00F967E0" w:rsidRPr="00F967E0" w:rsidRDefault="000A31AA" w:rsidP="000F208B">
            <w:pPr>
              <w:rPr>
                <w:sz w:val="18"/>
                <w:szCs w:val="18"/>
              </w:rPr>
            </w:pPr>
            <w:r w:rsidRPr="000A31AA">
              <w:rPr>
                <w:sz w:val="18"/>
                <w:szCs w:val="18"/>
              </w:rPr>
              <w:t>“Social butterflies”</w:t>
            </w:r>
          </w:p>
        </w:tc>
      </w:tr>
      <w:tr w:rsidR="00CB4D89" w14:paraId="2006A1F9" w14:textId="77777777" w:rsidTr="00CB4D89">
        <w:trPr>
          <w:trHeight w:val="728"/>
          <w:jc w:val="center"/>
        </w:trPr>
        <w:tc>
          <w:tcPr>
            <w:tcW w:w="983" w:type="dxa"/>
          </w:tcPr>
          <w:p w14:paraId="115DC57D" w14:textId="356B3828" w:rsidR="00F967E0" w:rsidRPr="00F967E0" w:rsidRDefault="00F967E0" w:rsidP="000F208B">
            <w:pPr>
              <w:pStyle w:val="IEEETableCell"/>
              <w:rPr>
                <w:szCs w:val="18"/>
              </w:rPr>
            </w:pPr>
            <w:r w:rsidRPr="00F967E0">
              <w:rPr>
                <w:rFonts w:hint="eastAsia"/>
                <w:szCs w:val="18"/>
              </w:rPr>
              <w:lastRenderedPageBreak/>
              <w:t>3 (grey)</w:t>
            </w:r>
          </w:p>
        </w:tc>
        <w:tc>
          <w:tcPr>
            <w:tcW w:w="540" w:type="dxa"/>
          </w:tcPr>
          <w:p w14:paraId="556E17DD" w14:textId="388BA59C" w:rsidR="00F967E0" w:rsidRPr="00F967E0" w:rsidRDefault="000A31AA" w:rsidP="000F208B">
            <w:pPr>
              <w:rPr>
                <w:sz w:val="18"/>
                <w:szCs w:val="18"/>
              </w:rPr>
            </w:pPr>
            <w:r w:rsidRPr="000A31AA">
              <w:rPr>
                <w:sz w:val="18"/>
                <w:szCs w:val="18"/>
              </w:rPr>
              <w:t>166</w:t>
            </w:r>
          </w:p>
        </w:tc>
        <w:tc>
          <w:tcPr>
            <w:tcW w:w="1080" w:type="dxa"/>
          </w:tcPr>
          <w:p w14:paraId="7B964FC0" w14:textId="1E0F72ED" w:rsidR="00F967E0" w:rsidRPr="00F967E0" w:rsidRDefault="00F967E0" w:rsidP="000F208B">
            <w:pPr>
              <w:pStyle w:val="IEEETableCell"/>
              <w:rPr>
                <w:szCs w:val="18"/>
              </w:rPr>
            </w:pPr>
            <w:r w:rsidRPr="00F967E0">
              <w:rPr>
                <w:rFonts w:hint="eastAsia"/>
                <w:szCs w:val="18"/>
              </w:rPr>
              <w:t xml:space="preserve">G3 </w:t>
            </w:r>
            <w:r w:rsidRPr="00F967E0">
              <w:rPr>
                <w:rFonts w:hint="eastAsia"/>
                <w:szCs w:val="18"/>
              </w:rPr>
              <w:t>≈</w:t>
            </w:r>
            <w:r w:rsidRPr="00F967E0">
              <w:rPr>
                <w:rFonts w:hint="eastAsia"/>
                <w:szCs w:val="18"/>
              </w:rPr>
              <w:t xml:space="preserve"> </w:t>
            </w:r>
            <w:r w:rsidR="000A31AA">
              <w:rPr>
                <w:szCs w:val="18"/>
              </w:rPr>
              <w:t>5.1</w:t>
            </w:r>
          </w:p>
        </w:tc>
        <w:tc>
          <w:tcPr>
            <w:tcW w:w="1080" w:type="dxa"/>
          </w:tcPr>
          <w:p w14:paraId="507E6A1E" w14:textId="1B189D09" w:rsidR="00F967E0" w:rsidRPr="00F967E0" w:rsidRDefault="000A31AA" w:rsidP="000F208B">
            <w:pPr>
              <w:rPr>
                <w:sz w:val="18"/>
                <w:szCs w:val="18"/>
              </w:rPr>
            </w:pPr>
            <w:r w:rsidRPr="000A31AA">
              <w:rPr>
                <w:sz w:val="18"/>
                <w:szCs w:val="18"/>
              </w:rPr>
              <w:t>Many failures &amp; absences</w:t>
            </w:r>
          </w:p>
        </w:tc>
        <w:tc>
          <w:tcPr>
            <w:tcW w:w="1324" w:type="dxa"/>
          </w:tcPr>
          <w:p w14:paraId="1CB9D3FF" w14:textId="6EE3EBFF" w:rsidR="00F967E0" w:rsidRPr="00F967E0" w:rsidRDefault="000A31AA" w:rsidP="000F208B">
            <w:pPr>
              <w:rPr>
                <w:sz w:val="18"/>
                <w:szCs w:val="18"/>
              </w:rPr>
            </w:pPr>
            <w:r w:rsidRPr="000A31AA">
              <w:rPr>
                <w:sz w:val="18"/>
                <w:szCs w:val="18"/>
              </w:rPr>
              <w:t>“At-risk cohort”</w:t>
            </w:r>
          </w:p>
        </w:tc>
      </w:tr>
    </w:tbl>
    <w:p w14:paraId="2B916755" w14:textId="77777777" w:rsidR="00F967E0" w:rsidRDefault="00F967E0" w:rsidP="00F967E0">
      <w:pPr>
        <w:pStyle w:val="IEEEParagraph"/>
      </w:pPr>
    </w:p>
    <w:p w14:paraId="7C615095" w14:textId="6418B70F" w:rsidR="000A31AA" w:rsidRDefault="000A31AA" w:rsidP="000A31AA">
      <w:pPr>
        <w:pStyle w:val="IEEEParagraph"/>
      </w:pPr>
      <w:r>
        <w:t>ANOVA confirms G3 differs by cluster (F₍2,659₎ = 638, p &lt; 0.001). Average silhouette = 0.31—acceptable for behavioural data.</w:t>
      </w:r>
    </w:p>
    <w:p w14:paraId="2DB7B0A3" w14:textId="434E9035" w:rsidR="00F967E0" w:rsidRDefault="000A31AA" w:rsidP="000A31AA">
      <w:pPr>
        <w:pStyle w:val="IEEEParagraph"/>
        <w:rPr>
          <w:lang w:val="en-US"/>
        </w:rPr>
      </w:pPr>
      <w:r>
        <w:t>Clustering</w:t>
      </w:r>
      <w:r>
        <w:t xml:space="preserve"> surfaces intervention targets absent from pure regression—e.g., Cluster 2 passes on average yet displays habits that could erode performance under stress, while Cluster 3 demands attendance remediation.</w:t>
      </w:r>
    </w:p>
    <w:p w14:paraId="4E342F90" w14:textId="27F691F6" w:rsidR="001B007A" w:rsidRDefault="001B007A" w:rsidP="001B007A">
      <w:pPr>
        <w:pStyle w:val="IEEEHeading2"/>
        <w:numPr>
          <w:ilvl w:val="0"/>
          <w:numId w:val="0"/>
        </w:numPr>
        <w:ind w:left="288" w:hanging="288"/>
      </w:pPr>
      <w:r>
        <w:t xml:space="preserve">E. </w:t>
      </w:r>
      <w:r w:rsidR="000F208B" w:rsidRPr="000F208B">
        <w:t>Gradient-Boosted Trees (</w:t>
      </w:r>
      <w:proofErr w:type="spellStart"/>
      <w:r w:rsidR="000F208B" w:rsidRPr="000F208B">
        <w:t>XGBoost</w:t>
      </w:r>
      <w:proofErr w:type="spellEnd"/>
      <w:r w:rsidR="000F208B" w:rsidRPr="000F208B">
        <w:t>)</w:t>
      </w:r>
    </w:p>
    <w:p w14:paraId="6E134604" w14:textId="2F467F7C" w:rsidR="000F208B" w:rsidRPr="000F208B" w:rsidRDefault="000F208B" w:rsidP="000F208B">
      <w:pPr>
        <w:pStyle w:val="IEEETableCaption"/>
      </w:pPr>
      <w:r>
        <w:t xml:space="preserve">TABLE </w:t>
      </w:r>
      <w:r>
        <w:t>8</w:t>
      </w:r>
      <w:r>
        <w:br w:type="textWrapping" w:clear="all"/>
      </w:r>
      <w:r w:rsidR="00863B5C" w:rsidRPr="00863B5C">
        <w:t>Hold-out comparison (identical test set)</w:t>
      </w:r>
    </w:p>
    <w:tbl>
      <w:tblPr>
        <w:tblStyle w:val="TableGrid"/>
        <w:tblW w:w="0" w:type="auto"/>
        <w:tblInd w:w="108" w:type="dxa"/>
        <w:tblLook w:val="04A0" w:firstRow="1" w:lastRow="0" w:firstColumn="1" w:lastColumn="0" w:noHBand="0" w:noVBand="1"/>
      </w:tblPr>
      <w:tblGrid>
        <w:gridCol w:w="1638"/>
        <w:gridCol w:w="1746"/>
        <w:gridCol w:w="1656"/>
      </w:tblGrid>
      <w:tr w:rsidR="000F208B" w14:paraId="22A99071" w14:textId="77777777" w:rsidTr="000F208B">
        <w:trPr>
          <w:trHeight w:val="440"/>
        </w:trPr>
        <w:tc>
          <w:tcPr>
            <w:tcW w:w="1638" w:type="dxa"/>
          </w:tcPr>
          <w:p w14:paraId="5052976E" w14:textId="0663E477" w:rsidR="000F208B" w:rsidRPr="000F208B" w:rsidRDefault="000F208B" w:rsidP="000F208B">
            <w:pPr>
              <w:pStyle w:val="IEEEParagraph"/>
              <w:ind w:firstLine="0"/>
              <w:rPr>
                <w:b/>
                <w:bCs/>
                <w:sz w:val="18"/>
                <w:szCs w:val="18"/>
              </w:rPr>
            </w:pPr>
            <w:r w:rsidRPr="000F208B">
              <w:rPr>
                <w:b/>
                <w:bCs/>
                <w:sz w:val="18"/>
                <w:szCs w:val="18"/>
              </w:rPr>
              <w:t>Model</w:t>
            </w:r>
          </w:p>
        </w:tc>
        <w:tc>
          <w:tcPr>
            <w:tcW w:w="1746" w:type="dxa"/>
          </w:tcPr>
          <w:p w14:paraId="0B882E55" w14:textId="3D7A6A3C" w:rsidR="000F208B" w:rsidRPr="000F208B" w:rsidRDefault="000F208B" w:rsidP="000F208B">
            <w:pPr>
              <w:pStyle w:val="IEEEParagraph"/>
              <w:ind w:firstLine="0"/>
              <w:rPr>
                <w:b/>
                <w:bCs/>
                <w:sz w:val="18"/>
                <w:szCs w:val="18"/>
              </w:rPr>
            </w:pPr>
            <w:r w:rsidRPr="000F208B">
              <w:rPr>
                <w:b/>
                <w:bCs/>
                <w:sz w:val="18"/>
                <w:szCs w:val="18"/>
              </w:rPr>
              <w:t>RMSE</w:t>
            </w:r>
          </w:p>
        </w:tc>
        <w:tc>
          <w:tcPr>
            <w:tcW w:w="1656" w:type="dxa"/>
          </w:tcPr>
          <w:p w14:paraId="02661E6B" w14:textId="0117D2C5" w:rsidR="000F208B" w:rsidRPr="000F208B" w:rsidRDefault="000F208B" w:rsidP="000F208B">
            <w:pPr>
              <w:pStyle w:val="IEEEParagraph"/>
              <w:ind w:firstLine="0"/>
              <w:rPr>
                <w:b/>
                <w:bCs/>
                <w:sz w:val="18"/>
                <w:szCs w:val="18"/>
              </w:rPr>
            </w:pPr>
            <w:r w:rsidRPr="000F208B">
              <w:rPr>
                <w:b/>
                <w:bCs/>
                <w:sz w:val="18"/>
                <w:szCs w:val="18"/>
              </w:rPr>
              <w:t>R²</w:t>
            </w:r>
          </w:p>
        </w:tc>
      </w:tr>
      <w:tr w:rsidR="000F208B" w14:paraId="0B0B939B" w14:textId="77777777" w:rsidTr="000F208B">
        <w:trPr>
          <w:trHeight w:val="530"/>
        </w:trPr>
        <w:tc>
          <w:tcPr>
            <w:tcW w:w="1638" w:type="dxa"/>
          </w:tcPr>
          <w:p w14:paraId="5E1700EA" w14:textId="64FD145C" w:rsidR="000F208B" w:rsidRPr="000F208B" w:rsidRDefault="000F208B" w:rsidP="000F208B">
            <w:pPr>
              <w:pStyle w:val="IEEEParagraph"/>
              <w:ind w:firstLine="0"/>
              <w:rPr>
                <w:sz w:val="18"/>
                <w:szCs w:val="18"/>
              </w:rPr>
            </w:pPr>
            <w:r w:rsidRPr="000F208B">
              <w:rPr>
                <w:sz w:val="18"/>
                <w:szCs w:val="18"/>
              </w:rPr>
              <w:t xml:space="preserve">Tuned </w:t>
            </w:r>
            <w:proofErr w:type="spellStart"/>
            <w:r w:rsidRPr="000F208B">
              <w:rPr>
                <w:sz w:val="18"/>
                <w:szCs w:val="18"/>
              </w:rPr>
              <w:t>XGBoost</w:t>
            </w:r>
            <w:proofErr w:type="spellEnd"/>
            <w:r w:rsidRPr="000F208B">
              <w:rPr>
                <w:sz w:val="18"/>
                <w:szCs w:val="18"/>
              </w:rPr>
              <w:tab/>
            </w:r>
          </w:p>
        </w:tc>
        <w:tc>
          <w:tcPr>
            <w:tcW w:w="1746" w:type="dxa"/>
          </w:tcPr>
          <w:p w14:paraId="338AF4E3" w14:textId="76F24CCD" w:rsidR="000F208B" w:rsidRPr="000F208B" w:rsidRDefault="000F208B" w:rsidP="000F208B">
            <w:pPr>
              <w:pStyle w:val="IEEEParagraph"/>
              <w:ind w:firstLine="0"/>
              <w:rPr>
                <w:sz w:val="18"/>
                <w:szCs w:val="18"/>
              </w:rPr>
            </w:pPr>
            <w:r w:rsidRPr="000F208B">
              <w:rPr>
                <w:sz w:val="18"/>
                <w:szCs w:val="18"/>
              </w:rPr>
              <w:t>1.72</w:t>
            </w:r>
          </w:p>
        </w:tc>
        <w:tc>
          <w:tcPr>
            <w:tcW w:w="1656" w:type="dxa"/>
          </w:tcPr>
          <w:p w14:paraId="74E1872C" w14:textId="0A5CB12D" w:rsidR="000F208B" w:rsidRPr="000F208B" w:rsidRDefault="000F208B" w:rsidP="000F208B">
            <w:pPr>
              <w:pStyle w:val="IEEEParagraph"/>
              <w:ind w:firstLine="0"/>
              <w:rPr>
                <w:sz w:val="18"/>
                <w:szCs w:val="18"/>
              </w:rPr>
            </w:pPr>
            <w:r w:rsidRPr="000F208B">
              <w:rPr>
                <w:sz w:val="18"/>
                <w:szCs w:val="18"/>
              </w:rPr>
              <w:t>0.82</w:t>
            </w:r>
          </w:p>
        </w:tc>
      </w:tr>
      <w:tr w:rsidR="000F208B" w14:paraId="721A2C56" w14:textId="77777777" w:rsidTr="000F208B">
        <w:trPr>
          <w:trHeight w:val="638"/>
        </w:trPr>
        <w:tc>
          <w:tcPr>
            <w:tcW w:w="1638" w:type="dxa"/>
          </w:tcPr>
          <w:p w14:paraId="562A5515" w14:textId="1FFB91DA" w:rsidR="000F208B" w:rsidRPr="000F208B" w:rsidRDefault="000F208B" w:rsidP="000F208B">
            <w:pPr>
              <w:pStyle w:val="IEEEParagraph"/>
              <w:ind w:firstLine="0"/>
              <w:rPr>
                <w:sz w:val="18"/>
                <w:szCs w:val="18"/>
              </w:rPr>
            </w:pPr>
            <w:r w:rsidRPr="000F208B">
              <w:rPr>
                <w:sz w:val="18"/>
                <w:szCs w:val="18"/>
              </w:rPr>
              <w:t>Linear baseline</w:t>
            </w:r>
            <w:r w:rsidRPr="000F208B">
              <w:rPr>
                <w:sz w:val="18"/>
                <w:szCs w:val="18"/>
              </w:rPr>
              <w:tab/>
            </w:r>
          </w:p>
        </w:tc>
        <w:tc>
          <w:tcPr>
            <w:tcW w:w="1746" w:type="dxa"/>
          </w:tcPr>
          <w:p w14:paraId="310EF42D" w14:textId="07A66A32" w:rsidR="000F208B" w:rsidRPr="000F208B" w:rsidRDefault="000F208B" w:rsidP="000F208B">
            <w:pPr>
              <w:pStyle w:val="IEEEParagraph"/>
              <w:ind w:firstLine="0"/>
              <w:rPr>
                <w:sz w:val="18"/>
                <w:szCs w:val="18"/>
              </w:rPr>
            </w:pPr>
            <w:r w:rsidRPr="000F208B">
              <w:rPr>
                <w:sz w:val="18"/>
                <w:szCs w:val="18"/>
              </w:rPr>
              <w:t>1.7</w:t>
            </w:r>
            <w:r w:rsidR="00863B5C">
              <w:rPr>
                <w:sz w:val="18"/>
                <w:szCs w:val="18"/>
              </w:rPr>
              <w:t>2</w:t>
            </w:r>
            <w:r w:rsidRPr="000F208B">
              <w:rPr>
                <w:sz w:val="18"/>
                <w:szCs w:val="18"/>
              </w:rPr>
              <w:tab/>
            </w:r>
          </w:p>
        </w:tc>
        <w:tc>
          <w:tcPr>
            <w:tcW w:w="1656" w:type="dxa"/>
          </w:tcPr>
          <w:p w14:paraId="25BA2B41" w14:textId="6724CFCC" w:rsidR="000F208B" w:rsidRPr="000F208B" w:rsidRDefault="000F208B" w:rsidP="000F208B">
            <w:pPr>
              <w:pStyle w:val="IEEEParagraph"/>
              <w:ind w:firstLine="0"/>
              <w:rPr>
                <w:sz w:val="18"/>
                <w:szCs w:val="18"/>
              </w:rPr>
            </w:pPr>
            <w:r w:rsidRPr="000F208B">
              <w:rPr>
                <w:sz w:val="18"/>
                <w:szCs w:val="18"/>
              </w:rPr>
              <w:t>0.8</w:t>
            </w:r>
            <w:r w:rsidR="00863B5C">
              <w:rPr>
                <w:sz w:val="18"/>
                <w:szCs w:val="18"/>
              </w:rPr>
              <w:t>2</w:t>
            </w:r>
          </w:p>
        </w:tc>
      </w:tr>
    </w:tbl>
    <w:p w14:paraId="47FD62A6" w14:textId="77777777" w:rsidR="000F208B" w:rsidRDefault="000F208B" w:rsidP="000F208B">
      <w:pPr>
        <w:pStyle w:val="IEEEParagraph"/>
        <w:rPr>
          <w:lang w:val="en-US"/>
        </w:rPr>
      </w:pPr>
    </w:p>
    <w:p w14:paraId="1F34376B" w14:textId="5A8F56AF" w:rsidR="000A31AA" w:rsidRPr="000F208B" w:rsidRDefault="000F208B" w:rsidP="000F208B">
      <w:pPr>
        <w:pStyle w:val="IEEEParagraph"/>
        <w:rPr>
          <w:lang w:val="en-US"/>
        </w:rPr>
      </w:pPr>
      <w:r w:rsidRPr="000F208B">
        <w:rPr>
          <w:lang w:val="en-US"/>
        </w:rPr>
        <w:t xml:space="preserve">Hyper-parameter search (25 Latin-hypercube draws; 5-fold CV) chose 540 trees, depth = 3, η = 0.06, </w:t>
      </w:r>
      <w:proofErr w:type="spellStart"/>
      <w:r w:rsidRPr="000F208B">
        <w:rPr>
          <w:lang w:val="en-US"/>
        </w:rPr>
        <w:t>mtry</w:t>
      </w:r>
      <w:proofErr w:type="spellEnd"/>
      <w:r w:rsidRPr="000F208B">
        <w:rPr>
          <w:lang w:val="en-US"/>
        </w:rPr>
        <w:t xml:space="preserve"> = 11. Despite added flexibility, the ensemble </w:t>
      </w:r>
      <w:r w:rsidRPr="000F208B">
        <w:rPr>
          <w:i/>
          <w:iCs/>
          <w:lang w:val="en-US"/>
        </w:rPr>
        <w:t>does not beat</w:t>
      </w:r>
      <w:r w:rsidRPr="000F208B">
        <w:rPr>
          <w:lang w:val="en-US"/>
        </w:rPr>
        <w:t xml:space="preserve"> the linear </w:t>
      </w:r>
      <w:proofErr w:type="gramStart"/>
      <w:r w:rsidRPr="000F208B">
        <w:rPr>
          <w:lang w:val="en-US"/>
        </w:rPr>
        <w:t>model—</w:t>
      </w:r>
      <w:proofErr w:type="gramEnd"/>
      <w:r w:rsidRPr="000F208B">
        <w:rPr>
          <w:lang w:val="en-US"/>
        </w:rPr>
        <w:t>likely a consequence of the dataset’s modest size and the near-linear G1/G2 → G3 relationship. Residual plots (not shown) are slightly more homoscedastic but share the same left-tail under-prediction</w:t>
      </w:r>
      <w:r>
        <w:t>.</w:t>
      </w:r>
    </w:p>
    <w:p w14:paraId="7EFB033E" w14:textId="79F8802B" w:rsidR="000A31AA" w:rsidRDefault="0089186E" w:rsidP="000A31AA">
      <w:pPr>
        <w:pStyle w:val="IEEEHeading2"/>
        <w:numPr>
          <w:ilvl w:val="0"/>
          <w:numId w:val="0"/>
        </w:numPr>
        <w:ind w:left="288" w:hanging="288"/>
      </w:pPr>
      <w:r>
        <w:t>F.</w:t>
      </w:r>
      <w:r w:rsidR="000A31AA">
        <w:t xml:space="preserve"> </w:t>
      </w:r>
      <w:r>
        <w:t>Synthesis</w:t>
      </w:r>
    </w:p>
    <w:p w14:paraId="055E55D5" w14:textId="389D8616" w:rsidR="0089186E" w:rsidRPr="0089186E" w:rsidRDefault="0089186E" w:rsidP="0089186E">
      <w:pPr>
        <w:pStyle w:val="IEEEHeading3"/>
        <w:numPr>
          <w:ilvl w:val="0"/>
          <w:numId w:val="16"/>
        </w:numPr>
        <w:ind w:firstLine="216"/>
        <w:rPr>
          <w:iCs/>
          <w:lang w:val="en-GB"/>
        </w:rPr>
      </w:pPr>
      <w:r>
        <w:rPr>
          <w:iCs/>
          <w:lang w:val="en-GB"/>
        </w:rPr>
        <w:t xml:space="preserve"> </w:t>
      </w:r>
      <w:r w:rsidRPr="0089186E">
        <w:rPr>
          <w:iCs/>
          <w:lang w:val="en-GB"/>
        </w:rPr>
        <w:t>Visual – Statistical Convergence</w:t>
      </w:r>
      <w:r w:rsidRPr="0089186E">
        <w:rPr>
          <w:iCs/>
          <w:lang w:val="en-GB"/>
        </w:rPr>
        <w:t xml:space="preserve">: </w:t>
      </w:r>
      <w:r w:rsidRPr="0089186E">
        <w:rPr>
          <w:rFonts w:hint="eastAsia"/>
          <w:i w:val="0"/>
          <w:lang w:val="en-GB"/>
        </w:rPr>
        <w:t>Plots of early</w:t>
      </w:r>
      <w:r w:rsidRPr="0089186E">
        <w:rPr>
          <w:rFonts w:hint="eastAsia"/>
          <w:i w:val="0"/>
          <w:lang w:val="en-GB"/>
        </w:rPr>
        <w:t>‐</w:t>
      </w:r>
      <w:r w:rsidRPr="0089186E">
        <w:rPr>
          <w:rFonts w:hint="eastAsia"/>
          <w:i w:val="0"/>
          <w:lang w:val="en-GB"/>
        </w:rPr>
        <w:t xml:space="preserve">term grades (G1, G2) showed extremely tight, linear relationships that visually hinted at their predictive dominance. Logistic and linear regression validated this observation: the largest standardized </w:t>
      </w:r>
      <w:r w:rsidRPr="0089186E">
        <w:rPr>
          <w:rFonts w:hint="eastAsia"/>
          <w:i w:val="0"/>
          <w:lang w:val="en-GB"/>
        </w:rPr>
        <w:t>β</w:t>
      </w:r>
      <w:r w:rsidRPr="0089186E">
        <w:rPr>
          <w:rFonts w:hint="eastAsia"/>
          <w:i w:val="0"/>
          <w:lang w:val="en-GB"/>
        </w:rPr>
        <w:t>-weights belonged to G1 and G2, and th</w:t>
      </w:r>
      <w:r w:rsidRPr="0089186E">
        <w:rPr>
          <w:i w:val="0"/>
          <w:lang w:val="en-GB"/>
        </w:rPr>
        <w:t>e odds of passing were near-deterministic once G2 crossed the mid-range threshold. In short, what the scatterplots foretold, the statistics confirmed.</w:t>
      </w:r>
    </w:p>
    <w:p w14:paraId="2C0E6091" w14:textId="289C3F32" w:rsidR="0089186E" w:rsidRPr="0089186E" w:rsidRDefault="0089186E" w:rsidP="0089186E">
      <w:pPr>
        <w:pStyle w:val="IEEEHeading3"/>
        <w:numPr>
          <w:ilvl w:val="0"/>
          <w:numId w:val="16"/>
        </w:numPr>
        <w:ind w:firstLine="216"/>
        <w:rPr>
          <w:lang w:val="en-GB"/>
        </w:rPr>
      </w:pPr>
      <w:r w:rsidRPr="0089186E">
        <w:rPr>
          <w:iCs/>
          <w:lang w:val="en-GB"/>
        </w:rPr>
        <w:t xml:space="preserve"> </w:t>
      </w:r>
      <w:r w:rsidRPr="0089186E">
        <w:rPr>
          <w:lang w:val="en-GB"/>
        </w:rPr>
        <w:t>Assumption Checks:</w:t>
      </w:r>
      <w:r>
        <w:rPr>
          <w:lang w:val="en-GB"/>
        </w:rPr>
        <w:t xml:space="preserve"> </w:t>
      </w:r>
      <w:r w:rsidRPr="00863B5C">
        <w:rPr>
          <w:i w:val="0"/>
          <w:iCs/>
          <w:lang w:val="en-GB"/>
        </w:rPr>
        <w:t xml:space="preserve">Residual diagnostics (Fig. 4) revealed mild heteroscedasticity and modest tail heaviness. These deviations were acknowledged and reported, yet their magnitude fell well within tolerance for reliable inference. Consequently, coefficient </w:t>
      </w:r>
      <w:proofErr w:type="gramStart"/>
      <w:r w:rsidRPr="00863B5C">
        <w:rPr>
          <w:i w:val="0"/>
          <w:iCs/>
          <w:lang w:val="en-GB"/>
        </w:rPr>
        <w:t>estimates</w:t>
      </w:r>
      <w:proofErr w:type="gramEnd"/>
      <w:r w:rsidRPr="00863B5C">
        <w:rPr>
          <w:i w:val="0"/>
          <w:iCs/>
          <w:lang w:val="en-GB"/>
        </w:rPr>
        <w:t xml:space="preserve"> and p-values remain trustworthy.</w:t>
      </w:r>
    </w:p>
    <w:p w14:paraId="215947D1" w14:textId="4A9AA32B" w:rsidR="0089186E" w:rsidRDefault="0089186E" w:rsidP="0089186E">
      <w:pPr>
        <w:pStyle w:val="IEEEHeading3"/>
        <w:numPr>
          <w:ilvl w:val="0"/>
          <w:numId w:val="16"/>
        </w:numPr>
        <w:ind w:firstLine="216"/>
        <w:rPr>
          <w:i w:val="0"/>
          <w:iCs/>
          <w:lang w:val="en-GB"/>
        </w:rPr>
      </w:pPr>
      <w:r w:rsidRPr="0089186E">
        <w:rPr>
          <w:lang w:val="en-GB"/>
        </w:rPr>
        <w:t xml:space="preserve"> Parsimony Prevails:</w:t>
      </w:r>
      <w:r>
        <w:rPr>
          <w:lang w:val="en-GB"/>
        </w:rPr>
        <w:t xml:space="preserve"> </w:t>
      </w:r>
      <w:r w:rsidRPr="0089186E">
        <w:rPr>
          <w:i w:val="0"/>
          <w:iCs/>
          <w:lang w:val="en-GB"/>
        </w:rPr>
        <w:t>Gradient-boosting trees, despite exhaustive hyper-parameter tuning, failed to outperform ordinary least squares on RMSE or R</w:t>
      </w:r>
      <w:r w:rsidRPr="0089186E">
        <w:rPr>
          <w:i w:val="0"/>
          <w:iCs/>
          <w:color w:val="3F3F46"/>
          <w:szCs w:val="20"/>
          <w:shd w:val="clear" w:color="auto" w:fill="FAFAFA"/>
          <w:vertAlign w:val="superscript"/>
        </w:rPr>
        <w:t>2</w:t>
      </w:r>
      <w:r w:rsidRPr="0089186E">
        <w:rPr>
          <w:i w:val="0"/>
          <w:iCs/>
          <w:lang w:val="en-GB"/>
        </w:rPr>
        <w:t>.</w:t>
      </w:r>
      <w:r w:rsidRPr="0089186E">
        <w:rPr>
          <w:i w:val="0"/>
          <w:iCs/>
          <w:lang w:val="en-GB"/>
        </w:rPr>
        <w:t xml:space="preserve"> </w:t>
      </w:r>
      <w:r w:rsidRPr="0089186E">
        <w:rPr>
          <w:i w:val="0"/>
          <w:iCs/>
          <w:lang w:val="en-GB"/>
        </w:rPr>
        <w:t>With a sample of roughly 1 000 students and largely linear signal, the simpler OLS model is not only adequate but preferable: it is easier to interpret, faster to train, and less prone to over-fitting.</w:t>
      </w:r>
    </w:p>
    <w:p w14:paraId="573AF5C4" w14:textId="04BC8AE8" w:rsidR="0089186E" w:rsidRPr="0089186E" w:rsidRDefault="0089186E" w:rsidP="0089186E">
      <w:pPr>
        <w:pStyle w:val="IEEEHeading3"/>
        <w:numPr>
          <w:ilvl w:val="0"/>
          <w:numId w:val="16"/>
        </w:numPr>
        <w:ind w:firstLine="216"/>
      </w:pPr>
      <w:r>
        <w:rPr>
          <w:lang w:val="en-GB"/>
        </w:rPr>
        <w:t xml:space="preserve"> Action</w:t>
      </w:r>
      <w:r w:rsidR="00412FC6">
        <w:rPr>
          <w:lang w:val="en-GB"/>
        </w:rPr>
        <w:t xml:space="preserve">able </w:t>
      </w:r>
      <w:r>
        <w:rPr>
          <w:lang w:val="en-GB"/>
        </w:rPr>
        <w:t xml:space="preserve">Insights: </w:t>
      </w:r>
      <w:r w:rsidRPr="0089186E">
        <w:rPr>
          <w:i w:val="0"/>
          <w:iCs/>
        </w:rPr>
        <w:t>First, interventions must begin as early as possible: every point a student loses in G2 is almost unrecoverable by the end of the year, so tutoring or mentoring should be triggered the moment a grade dip is observed. Second, attendance warrants close surveillance because absences emerged as the only lifestyle factor with a consistent—though moderate—impact on outcomes; timely attendance alerts can therefore pre-empt academic decline. Finally, support should be tailored to the three identified clusters. Students in Cluster 1, the solid performers, generally sustain their achievement through their existing study habits and need only minimal, low-touch guidance. Those in Cluster 2, characterized as social drinkers, benefit most from a hybrid approach that couples academic coaching with initiatives aimed at moderating weekend drinking, thereby re-establishing study discipline. Cluster 3 contains the most at-risk students; for them, rigorous attendance monitoring and frequent check-ins are paramount, because reducing absences offers the clearest leverage for reversing their academic trajectory</w:t>
      </w:r>
      <w:r>
        <w:t>.</w:t>
      </w:r>
    </w:p>
    <w:p w14:paraId="3B2BDE78" w14:textId="00704187" w:rsidR="008830FC" w:rsidRDefault="008830FC" w:rsidP="008830FC">
      <w:pPr>
        <w:pStyle w:val="IEEEHeading1"/>
        <w:rPr>
          <w:lang w:val="en-US"/>
        </w:rPr>
      </w:pPr>
      <w:r>
        <w:t>Summary and Conclusions</w:t>
      </w:r>
    </w:p>
    <w:p w14:paraId="1189587C" w14:textId="133A23A8" w:rsidR="004B0A0B" w:rsidRPr="004B0A0B" w:rsidRDefault="004B0A0B" w:rsidP="004B0A0B">
      <w:pPr>
        <w:ind w:firstLine="289"/>
        <w:rPr>
          <w:sz w:val="20"/>
          <w:lang w:val="en-US"/>
        </w:rPr>
      </w:pPr>
      <w:r w:rsidRPr="004B0A0B">
        <w:rPr>
          <w:sz w:val="20"/>
          <w:lang w:val="en-US"/>
        </w:rPr>
        <w:t>Academic momentum dominates this dataset. The second-term grade G2 on its own explains about five-sixths of the variance in the final mark G3, and a single-predictor logistic model classifies pass versus fail with 93 % accuracy while missing only two failures in the hold-out sample. The implication is stark: teachers need look no further than the mid-year report card to know who is drifting toward failure, and any remedial tutoring or mentoring must be triggered the moment that grade slips.</w:t>
      </w:r>
    </w:p>
    <w:p w14:paraId="6EED6FFA" w14:textId="5944D62B" w:rsidR="004B0A0B" w:rsidRPr="004B0A0B" w:rsidRDefault="004B0A0B" w:rsidP="004B0A0B">
      <w:pPr>
        <w:ind w:firstLine="289"/>
        <w:rPr>
          <w:sz w:val="20"/>
          <w:lang w:val="en-US"/>
        </w:rPr>
      </w:pPr>
      <w:r w:rsidRPr="004B0A0B">
        <w:rPr>
          <w:sz w:val="20"/>
          <w:lang w:val="en-US"/>
        </w:rPr>
        <w:t xml:space="preserve">Lifestyle and demographic attributes, though weak predictors once grades are known, still illuminate how apparently similar students diverge. Unsupervised k-means clustering of </w:t>
      </w:r>
      <w:r w:rsidRPr="004B0A0B">
        <w:rPr>
          <w:sz w:val="20"/>
          <w:lang w:val="en-US"/>
        </w:rPr>
        <w:t>standardized</w:t>
      </w:r>
      <w:r w:rsidRPr="004B0A0B">
        <w:rPr>
          <w:sz w:val="20"/>
          <w:lang w:val="en-US"/>
        </w:rPr>
        <w:t xml:space="preserve"> academic and </w:t>
      </w:r>
      <w:r w:rsidRPr="004B0A0B">
        <w:rPr>
          <w:sz w:val="20"/>
          <w:lang w:val="en-US"/>
        </w:rPr>
        <w:t>behavioral</w:t>
      </w:r>
      <w:r w:rsidRPr="004B0A0B">
        <w:rPr>
          <w:sz w:val="20"/>
          <w:lang w:val="en-US"/>
        </w:rPr>
        <w:t xml:space="preserve"> features revealed three cohesive profiles. “Solid Performers” pair steady attendance with moderate study habits and finish comfortably above the pass line. “Social Butterflies” achieve middling results despite the highest alcohol consumption and weekend </w:t>
      </w:r>
      <w:r w:rsidRPr="004B0A0B">
        <w:rPr>
          <w:sz w:val="20"/>
          <w:lang w:val="en-US"/>
        </w:rPr>
        <w:t>socializing</w:t>
      </w:r>
      <w:r w:rsidRPr="004B0A0B">
        <w:rPr>
          <w:sz w:val="20"/>
          <w:lang w:val="en-US"/>
        </w:rPr>
        <w:t>, implying latent vulnerability should academic demands intensify. An “At-Risk” cohort, distinguished by chronic absences and multiple course failures, posts a mean final grade barely half the passing threshold.</w:t>
      </w:r>
    </w:p>
    <w:p w14:paraId="2AFF6173" w14:textId="62131C9D" w:rsidR="004B0A0B" w:rsidRPr="004B0A0B" w:rsidRDefault="004B0A0B" w:rsidP="004B0A0B">
      <w:pPr>
        <w:ind w:firstLine="289"/>
        <w:rPr>
          <w:sz w:val="20"/>
          <w:lang w:val="en-US"/>
        </w:rPr>
      </w:pPr>
      <w:r w:rsidRPr="004B0A0B">
        <w:rPr>
          <w:sz w:val="20"/>
          <w:lang w:val="en-US"/>
        </w:rPr>
        <w:t xml:space="preserve">Attendance emerges as the only consistent, actionable non-grade signal. It is modestly significant in all regressions, inflates failure odds by roughly 40 % per additional absence, and forms the clearest </w:t>
      </w:r>
      <w:r w:rsidRPr="004B0A0B">
        <w:rPr>
          <w:sz w:val="20"/>
          <w:lang w:val="en-US"/>
        </w:rPr>
        <w:t>behavioral</w:t>
      </w:r>
      <w:r w:rsidRPr="004B0A0B">
        <w:rPr>
          <w:sz w:val="20"/>
          <w:lang w:val="en-US"/>
        </w:rPr>
        <w:t xml:space="preserve"> fault line between the two lower clusters. The inability of gradient-boosted trees to beat ordinary least squares even after exhaustive hyper-parameter tuning confirms that these relationships are essentially linear, so the virtue of parsimony—simple models that stakeholders can interpret—remains intact.</w:t>
      </w:r>
    </w:p>
    <w:p w14:paraId="0E4DC54E" w14:textId="61A238E5" w:rsidR="008830FC" w:rsidRPr="004B0A0B" w:rsidRDefault="004B0A0B" w:rsidP="004B0A0B">
      <w:pPr>
        <w:ind w:firstLine="289"/>
        <w:rPr>
          <w:sz w:val="20"/>
          <w:lang w:val="en-US"/>
        </w:rPr>
      </w:pPr>
      <w:r w:rsidRPr="004B0A0B">
        <w:rPr>
          <w:sz w:val="20"/>
          <w:lang w:val="en-US"/>
        </w:rPr>
        <w:t xml:space="preserve">Taken together, the findings advocate a two-step intervention strategy. First, deploy a transparent grade-based threshold as an early-warning trigger. Second, tailor the ensuing support to </w:t>
      </w:r>
      <w:r w:rsidRPr="004B0A0B">
        <w:rPr>
          <w:sz w:val="20"/>
          <w:lang w:val="en-US"/>
        </w:rPr>
        <w:t>behavioral</w:t>
      </w:r>
      <w:r w:rsidRPr="004B0A0B">
        <w:rPr>
          <w:sz w:val="20"/>
          <w:lang w:val="en-US"/>
        </w:rPr>
        <w:t xml:space="preserve"> profile: minimal guidance for solid performers, combined academic and lifestyle coaching for social drinkers, and rigorous attendance monitoring plus frequent check-ins for the at-risk group. Because the entire pipeline rests on a privacy-preserving synthetic file released under an open DOI, every claim is fully reproducible and ready for extension to other educational </w:t>
      </w:r>
      <w:r w:rsidRPr="004B0A0B">
        <w:rPr>
          <w:sz w:val="20"/>
          <w:lang w:val="en-US"/>
        </w:rPr>
        <w:t>settings.</w:t>
      </w:r>
    </w:p>
    <w:p w14:paraId="6C1632C2" w14:textId="227D2CC4" w:rsidR="003950A4" w:rsidRDefault="00CA4CE3" w:rsidP="00F967E0">
      <w:pPr>
        <w:pStyle w:val="IEEEHeading1"/>
        <w:numPr>
          <w:ilvl w:val="0"/>
          <w:numId w:val="0"/>
        </w:numPr>
        <w:rPr>
          <w:lang w:val="en-US"/>
        </w:rPr>
      </w:pPr>
      <w:r>
        <w:rPr>
          <w:lang w:val="en-US"/>
        </w:rPr>
        <w:t>Acknowledgment</w:t>
      </w:r>
    </w:p>
    <w:p w14:paraId="2AA63F74" w14:textId="3D31A631" w:rsidR="00D311F8" w:rsidRPr="00BC5D05" w:rsidRDefault="00BC5D05" w:rsidP="00BC5D05">
      <w:pPr>
        <w:pStyle w:val="IEEEParagraph"/>
        <w:rPr>
          <w:lang w:val="en-US"/>
        </w:rPr>
      </w:pPr>
      <w:r w:rsidRPr="00BC5D05">
        <w:rPr>
          <w:lang w:val="en-US"/>
        </w:rPr>
        <w:t>We gratefully acknowledge Professor Heze Chen for the guidance and support provided throughout APMA 3150. Your clear lectures, timely feedback, and encouragement to push beyond foundational methods—particularly in the areas of ensemble learning and model interpretability—shaped the direction and quality of our work. The emphasis you placed on reproducible workflows and ethical data stewardship informed every stage of this project. We appreciate the time you devoted to our questions, the constructive critiques of our drafts, and the enthusiasm you brought to each class session.</w:t>
      </w:r>
    </w:p>
    <w:p w14:paraId="2925F573" w14:textId="77777777" w:rsidR="001928FB" w:rsidRDefault="001928FB" w:rsidP="00F06A72">
      <w:pPr>
        <w:pStyle w:val="IEEEHeading1"/>
        <w:numPr>
          <w:ilvl w:val="0"/>
          <w:numId w:val="0"/>
        </w:numPr>
      </w:pPr>
      <w:r>
        <w:t>References</w:t>
      </w:r>
    </w:p>
    <w:p w14:paraId="5AC8E502" w14:textId="77777777" w:rsidR="00D47F46" w:rsidRPr="00890BF7" w:rsidRDefault="00D47F46" w:rsidP="00D47F46">
      <w:pPr>
        <w:pStyle w:val="IEEEReferenceItem"/>
      </w:pPr>
      <w:r w:rsidRPr="00890BF7">
        <w:t>P. Cortez and A. M. G. Silva, “Using data mining to predict secondary school student performance,” Apr. 2008. Accessed: Jul. 05, 2025. [Online]. Available: https://www.semanticscholar.org/paper/Using-data-mining-to-predict-secondary-school-Cortez-Silva/61d468d5254730bbecf822c6b60d7d6595d9889c</w:t>
      </w:r>
    </w:p>
    <w:p w14:paraId="51DF710F" w14:textId="075A00FC" w:rsidR="00A44ABB" w:rsidRPr="00A44ABB" w:rsidRDefault="00D47F46" w:rsidP="00A44ABB">
      <w:pPr>
        <w:pStyle w:val="IEEEReferenceItem"/>
      </w:pPr>
      <w:r w:rsidRPr="00890BF7">
        <w:rPr>
          <w:szCs w:val="16"/>
        </w:rPr>
        <w:t xml:space="preserve">D. R. Lillard and P. P. DeCicca, “Higher standards, more dropouts? Evidence within and across time,” </w:t>
      </w:r>
      <w:r w:rsidRPr="00890BF7">
        <w:rPr>
          <w:i/>
          <w:iCs/>
          <w:szCs w:val="16"/>
        </w:rPr>
        <w:t>Economics of Education Review</w:t>
      </w:r>
      <w:r w:rsidRPr="00890BF7">
        <w:rPr>
          <w:szCs w:val="16"/>
        </w:rPr>
        <w:t xml:space="preserve">, vol. 20, no. 5, pp. 459–473, Oct. 2001, </w:t>
      </w:r>
      <w:proofErr w:type="spellStart"/>
      <w:r w:rsidRPr="00890BF7">
        <w:rPr>
          <w:szCs w:val="16"/>
        </w:rPr>
        <w:t>doi</w:t>
      </w:r>
      <w:proofErr w:type="spellEnd"/>
      <w:r w:rsidRPr="00890BF7">
        <w:rPr>
          <w:szCs w:val="16"/>
        </w:rPr>
        <w:t>: 10.1016/S0272-7757(00)00022-</w:t>
      </w:r>
      <w:r w:rsidR="00A44ABB">
        <w:rPr>
          <w:szCs w:val="16"/>
        </w:rPr>
        <w:t>4.</w:t>
      </w:r>
    </w:p>
    <w:p w14:paraId="5EC88165" w14:textId="77777777" w:rsidR="00A44ABB" w:rsidRPr="00890BF7" w:rsidRDefault="00A44ABB" w:rsidP="00A44ABB">
      <w:pPr>
        <w:pStyle w:val="IEEEReferenceItem"/>
      </w:pPr>
      <w:r w:rsidRPr="00890BF7">
        <w:t xml:space="preserve">J. Y. Chung and S. Lee, “Dropout early warning systems for high school students using machine learning,” </w:t>
      </w:r>
      <w:r w:rsidRPr="00890BF7">
        <w:rPr>
          <w:i/>
          <w:iCs/>
        </w:rPr>
        <w:t>Children and Youth Services Review</w:t>
      </w:r>
      <w:r w:rsidRPr="00890BF7">
        <w:t xml:space="preserve">, vol. 96, pp. 346–353, Jan. 2019, </w:t>
      </w:r>
      <w:proofErr w:type="spellStart"/>
      <w:r w:rsidRPr="00890BF7">
        <w:t>doi</w:t>
      </w:r>
      <w:proofErr w:type="spellEnd"/>
      <w:r w:rsidRPr="00890BF7">
        <w:t>: 10.1016/j.childyouth.2018.11.030.</w:t>
      </w:r>
    </w:p>
    <w:p w14:paraId="6E432D7A" w14:textId="77777777" w:rsidR="00A44ABB" w:rsidRPr="00A44ABB" w:rsidRDefault="00A44ABB" w:rsidP="00A44ABB">
      <w:pPr>
        <w:pStyle w:val="IEEEReferenceItem"/>
      </w:pPr>
      <w:r w:rsidRPr="00890BF7">
        <w:rPr>
          <w:szCs w:val="16"/>
        </w:rPr>
        <w:t xml:space="preserve">A. M. Rabelo and L. E. Zárate, “A model for predicting dropout of higher education students,” </w:t>
      </w:r>
      <w:r w:rsidRPr="00890BF7">
        <w:rPr>
          <w:i/>
          <w:iCs/>
          <w:szCs w:val="16"/>
        </w:rPr>
        <w:t>Data Science and Management</w:t>
      </w:r>
      <w:r w:rsidRPr="00890BF7">
        <w:rPr>
          <w:szCs w:val="16"/>
        </w:rPr>
        <w:t xml:space="preserve">, vol. 8, no. 1, pp. 72–85, Mar. 2025, </w:t>
      </w:r>
      <w:proofErr w:type="spellStart"/>
      <w:r w:rsidRPr="00890BF7">
        <w:rPr>
          <w:szCs w:val="16"/>
        </w:rPr>
        <w:t>doi</w:t>
      </w:r>
      <w:proofErr w:type="spellEnd"/>
      <w:r w:rsidRPr="00890BF7">
        <w:rPr>
          <w:szCs w:val="16"/>
        </w:rPr>
        <w:t>: 10.1016/j.dsm.2024.07.001.</w:t>
      </w:r>
    </w:p>
    <w:p w14:paraId="5C736E2F" w14:textId="0A0ADB8F" w:rsidR="00D47F46" w:rsidRDefault="00A44ABB" w:rsidP="00A44ABB">
      <w:pPr>
        <w:pStyle w:val="IEEEReferenceItem"/>
        <w:sectPr w:rsidR="00D47F46" w:rsidSect="00375171">
          <w:type w:val="continuous"/>
          <w:pgSz w:w="12240" w:h="15840" w:code="1"/>
          <w:pgMar w:top="1080" w:right="979" w:bottom="1440" w:left="979" w:header="706" w:footer="706" w:gutter="0"/>
          <w:cols w:num="2" w:space="238"/>
          <w:docGrid w:linePitch="360"/>
        </w:sectPr>
      </w:pPr>
      <w:r w:rsidRPr="00890BF7">
        <w:rPr>
          <w:szCs w:val="16"/>
        </w:rPr>
        <w:t>“Using Inquiry-Based Experiments to Improve Pre-Service Science Teachers’ Science Process Skills,” ResearchGate. Accessed: Jul. 06, 2025. [Online]. Available: https://www.researchgate.net/publication/336605234_Using_Inquiry-Based_Experiments_to_Improve_Pre-Service_Science_Teachers'_Science_Process_Skills</w:t>
      </w:r>
    </w:p>
    <w:p w14:paraId="5356E926" w14:textId="77777777" w:rsidR="00877D4C" w:rsidRPr="0003296C" w:rsidRDefault="00877D4C" w:rsidP="00BA3422"/>
    <w:sectPr w:rsidR="00877D4C" w:rsidRPr="0003296C"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5E125D2C"/>
    <w:lvl w:ilvl="0">
      <w:start w:val="1"/>
      <w:numFmt w:val="decimal"/>
      <w:pStyle w:val="IEEEHeading3"/>
      <w:suff w:val="nothing"/>
      <w:lvlText w:val="%1)"/>
      <w:lvlJc w:val="left"/>
      <w:pPr>
        <w:ind w:left="0" w:firstLine="0"/>
      </w:pPr>
      <w:rPr>
        <w:rFonts w:ascii="Times New Roman" w:eastAsia="SimSun" w:hAnsi="Times New Roman" w:cs="Times New Roman"/>
        <w:i/>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59B16E6"/>
    <w:multiLevelType w:val="hybridMultilevel"/>
    <w:tmpl w:val="90129310"/>
    <w:lvl w:ilvl="0" w:tplc="DC16D16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543714113">
    <w:abstractNumId w:val="5"/>
  </w:num>
  <w:num w:numId="2" w16cid:durableId="1988198129">
    <w:abstractNumId w:val="6"/>
  </w:num>
  <w:num w:numId="3" w16cid:durableId="987319340">
    <w:abstractNumId w:val="5"/>
  </w:num>
  <w:num w:numId="4" w16cid:durableId="1747220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2286357">
    <w:abstractNumId w:val="4"/>
  </w:num>
  <w:num w:numId="6" w16cid:durableId="1918437554">
    <w:abstractNumId w:val="3"/>
  </w:num>
  <w:num w:numId="7" w16cid:durableId="1487208659">
    <w:abstractNumId w:val="0"/>
  </w:num>
  <w:num w:numId="8" w16cid:durableId="1162358571">
    <w:abstractNumId w:val="2"/>
  </w:num>
  <w:num w:numId="9" w16cid:durableId="11426951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7089635">
    <w:abstractNumId w:val="1"/>
  </w:num>
  <w:num w:numId="11" w16cid:durableId="19036388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5187731">
    <w:abstractNumId w:val="7"/>
  </w:num>
  <w:num w:numId="13" w16cid:durableId="1872526358">
    <w:abstractNumId w:val="6"/>
    <w:lvlOverride w:ilvl="0">
      <w:startOverride w:val="1"/>
    </w:lvlOverride>
  </w:num>
  <w:num w:numId="14" w16cid:durableId="20367286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28784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4227286">
    <w:abstractNumId w:val="6"/>
    <w:lvlOverride w:ilvl="0">
      <w:startOverride w:val="1"/>
    </w:lvlOverride>
  </w:num>
  <w:num w:numId="17" w16cid:durableId="1895316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3694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6FCA"/>
    <w:rsid w:val="00017719"/>
    <w:rsid w:val="00027F1D"/>
    <w:rsid w:val="0003296C"/>
    <w:rsid w:val="00054421"/>
    <w:rsid w:val="00062E46"/>
    <w:rsid w:val="00074AC8"/>
    <w:rsid w:val="00081408"/>
    <w:rsid w:val="00081EBE"/>
    <w:rsid w:val="00086EDC"/>
    <w:rsid w:val="000A31AA"/>
    <w:rsid w:val="000A5C76"/>
    <w:rsid w:val="000B171B"/>
    <w:rsid w:val="000B36A3"/>
    <w:rsid w:val="000B4126"/>
    <w:rsid w:val="000C013C"/>
    <w:rsid w:val="000E3F84"/>
    <w:rsid w:val="000F208B"/>
    <w:rsid w:val="001056DF"/>
    <w:rsid w:val="00105AD1"/>
    <w:rsid w:val="00114025"/>
    <w:rsid w:val="001160D2"/>
    <w:rsid w:val="00124673"/>
    <w:rsid w:val="001348A5"/>
    <w:rsid w:val="00140D7D"/>
    <w:rsid w:val="00151B8E"/>
    <w:rsid w:val="001570CA"/>
    <w:rsid w:val="001928FB"/>
    <w:rsid w:val="001A50EA"/>
    <w:rsid w:val="001B007A"/>
    <w:rsid w:val="001F16CD"/>
    <w:rsid w:val="001F1E14"/>
    <w:rsid w:val="001F47D2"/>
    <w:rsid w:val="0022285A"/>
    <w:rsid w:val="00224C61"/>
    <w:rsid w:val="002679DF"/>
    <w:rsid w:val="0027227B"/>
    <w:rsid w:val="00273AC7"/>
    <w:rsid w:val="00273D2C"/>
    <w:rsid w:val="00285ECD"/>
    <w:rsid w:val="00290E1B"/>
    <w:rsid w:val="002A4E2E"/>
    <w:rsid w:val="002A6742"/>
    <w:rsid w:val="002C1A7F"/>
    <w:rsid w:val="002C4239"/>
    <w:rsid w:val="002C559D"/>
    <w:rsid w:val="002D2D42"/>
    <w:rsid w:val="002E39C5"/>
    <w:rsid w:val="002F72D0"/>
    <w:rsid w:val="003003AB"/>
    <w:rsid w:val="00311C49"/>
    <w:rsid w:val="0032119E"/>
    <w:rsid w:val="00321304"/>
    <w:rsid w:val="00323875"/>
    <w:rsid w:val="00331F84"/>
    <w:rsid w:val="003577F0"/>
    <w:rsid w:val="003577FC"/>
    <w:rsid w:val="00371309"/>
    <w:rsid w:val="00375171"/>
    <w:rsid w:val="003950A4"/>
    <w:rsid w:val="00395578"/>
    <w:rsid w:val="003B370D"/>
    <w:rsid w:val="003E6FE9"/>
    <w:rsid w:val="003F3A61"/>
    <w:rsid w:val="00410A5D"/>
    <w:rsid w:val="00412FC6"/>
    <w:rsid w:val="00414909"/>
    <w:rsid w:val="00426FBB"/>
    <w:rsid w:val="00432A7C"/>
    <w:rsid w:val="0045616D"/>
    <w:rsid w:val="00460D66"/>
    <w:rsid w:val="00474169"/>
    <w:rsid w:val="0047429A"/>
    <w:rsid w:val="0048374C"/>
    <w:rsid w:val="0048771D"/>
    <w:rsid w:val="004A6605"/>
    <w:rsid w:val="004B0A0B"/>
    <w:rsid w:val="004C45FA"/>
    <w:rsid w:val="004D1C40"/>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2226"/>
    <w:rsid w:val="005B47D7"/>
    <w:rsid w:val="005C4B6C"/>
    <w:rsid w:val="005C5526"/>
    <w:rsid w:val="005C62C6"/>
    <w:rsid w:val="005D7B9E"/>
    <w:rsid w:val="005F0834"/>
    <w:rsid w:val="005F092C"/>
    <w:rsid w:val="005F6DC3"/>
    <w:rsid w:val="0062033E"/>
    <w:rsid w:val="0064799C"/>
    <w:rsid w:val="00654156"/>
    <w:rsid w:val="006B47CA"/>
    <w:rsid w:val="006C7AAA"/>
    <w:rsid w:val="006D1C2A"/>
    <w:rsid w:val="006D264F"/>
    <w:rsid w:val="006E2A8D"/>
    <w:rsid w:val="006E7574"/>
    <w:rsid w:val="006F3F50"/>
    <w:rsid w:val="00703430"/>
    <w:rsid w:val="007069BE"/>
    <w:rsid w:val="007374CB"/>
    <w:rsid w:val="00745C86"/>
    <w:rsid w:val="00764603"/>
    <w:rsid w:val="0076604D"/>
    <w:rsid w:val="00775C92"/>
    <w:rsid w:val="00790909"/>
    <w:rsid w:val="007910AA"/>
    <w:rsid w:val="007B5A07"/>
    <w:rsid w:val="007D3E71"/>
    <w:rsid w:val="007E5D6A"/>
    <w:rsid w:val="007E645D"/>
    <w:rsid w:val="007F75CA"/>
    <w:rsid w:val="00821E08"/>
    <w:rsid w:val="00834EFD"/>
    <w:rsid w:val="00844B24"/>
    <w:rsid w:val="0084515F"/>
    <w:rsid w:val="00850AFE"/>
    <w:rsid w:val="00863B5C"/>
    <w:rsid w:val="00877D4C"/>
    <w:rsid w:val="008830FC"/>
    <w:rsid w:val="0089186E"/>
    <w:rsid w:val="0089763B"/>
    <w:rsid w:val="008A0374"/>
    <w:rsid w:val="008B3178"/>
    <w:rsid w:val="008B6AE3"/>
    <w:rsid w:val="008D1045"/>
    <w:rsid w:val="008E5996"/>
    <w:rsid w:val="00901AE1"/>
    <w:rsid w:val="009205B4"/>
    <w:rsid w:val="00945C76"/>
    <w:rsid w:val="00955B59"/>
    <w:rsid w:val="00992262"/>
    <w:rsid w:val="009926BC"/>
    <w:rsid w:val="0099271F"/>
    <w:rsid w:val="009A4319"/>
    <w:rsid w:val="009A6C3F"/>
    <w:rsid w:val="009B25EB"/>
    <w:rsid w:val="009B73F2"/>
    <w:rsid w:val="009C12BD"/>
    <w:rsid w:val="009C4F0C"/>
    <w:rsid w:val="009C50FE"/>
    <w:rsid w:val="009E6B23"/>
    <w:rsid w:val="00A03E75"/>
    <w:rsid w:val="00A22E5C"/>
    <w:rsid w:val="00A425C0"/>
    <w:rsid w:val="00A44ABB"/>
    <w:rsid w:val="00A45FCE"/>
    <w:rsid w:val="00A75671"/>
    <w:rsid w:val="00A76B7A"/>
    <w:rsid w:val="00A773CC"/>
    <w:rsid w:val="00A9318B"/>
    <w:rsid w:val="00A94AC1"/>
    <w:rsid w:val="00AB18B7"/>
    <w:rsid w:val="00AD335D"/>
    <w:rsid w:val="00AF5809"/>
    <w:rsid w:val="00AF792B"/>
    <w:rsid w:val="00B44292"/>
    <w:rsid w:val="00B47583"/>
    <w:rsid w:val="00B55D5E"/>
    <w:rsid w:val="00B94516"/>
    <w:rsid w:val="00BA3422"/>
    <w:rsid w:val="00BB2855"/>
    <w:rsid w:val="00BC17BE"/>
    <w:rsid w:val="00BC5D05"/>
    <w:rsid w:val="00BD19C1"/>
    <w:rsid w:val="00BD25B8"/>
    <w:rsid w:val="00BE186D"/>
    <w:rsid w:val="00BE24F3"/>
    <w:rsid w:val="00C012E1"/>
    <w:rsid w:val="00C06BB4"/>
    <w:rsid w:val="00C10D20"/>
    <w:rsid w:val="00C12E0C"/>
    <w:rsid w:val="00C232A8"/>
    <w:rsid w:val="00C457CA"/>
    <w:rsid w:val="00C57FB7"/>
    <w:rsid w:val="00C65F3F"/>
    <w:rsid w:val="00C8667B"/>
    <w:rsid w:val="00CA4CE3"/>
    <w:rsid w:val="00CB4D89"/>
    <w:rsid w:val="00CC4C64"/>
    <w:rsid w:val="00CD4F3F"/>
    <w:rsid w:val="00D311F8"/>
    <w:rsid w:val="00D377C8"/>
    <w:rsid w:val="00D41274"/>
    <w:rsid w:val="00D47F46"/>
    <w:rsid w:val="00D767BB"/>
    <w:rsid w:val="00D939B0"/>
    <w:rsid w:val="00DB16E0"/>
    <w:rsid w:val="00DB2DF9"/>
    <w:rsid w:val="00DB7E63"/>
    <w:rsid w:val="00DC2055"/>
    <w:rsid w:val="00DD71E8"/>
    <w:rsid w:val="00DD7F83"/>
    <w:rsid w:val="00E0641E"/>
    <w:rsid w:val="00E06664"/>
    <w:rsid w:val="00E304BC"/>
    <w:rsid w:val="00E30FD4"/>
    <w:rsid w:val="00E32853"/>
    <w:rsid w:val="00E401F8"/>
    <w:rsid w:val="00E46425"/>
    <w:rsid w:val="00E47D0E"/>
    <w:rsid w:val="00E65018"/>
    <w:rsid w:val="00E94339"/>
    <w:rsid w:val="00E97563"/>
    <w:rsid w:val="00EA503F"/>
    <w:rsid w:val="00EB0B63"/>
    <w:rsid w:val="00EC265C"/>
    <w:rsid w:val="00ED61CB"/>
    <w:rsid w:val="00F02122"/>
    <w:rsid w:val="00F06A72"/>
    <w:rsid w:val="00F136F0"/>
    <w:rsid w:val="00F20BBB"/>
    <w:rsid w:val="00F43BD8"/>
    <w:rsid w:val="00F562F3"/>
    <w:rsid w:val="00F74B89"/>
    <w:rsid w:val="00F75133"/>
    <w:rsid w:val="00F967E0"/>
    <w:rsid w:val="00FA3899"/>
    <w:rsid w:val="00FA4909"/>
    <w:rsid w:val="00FA6751"/>
    <w:rsid w:val="00FB1048"/>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8F125C"/>
  <w15:chartTrackingRefBased/>
  <w15:docId w15:val="{F82AF228-6786-452A-8F80-624A1047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67E0"/>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FollowedHyperlink">
    <w:name w:val="FollowedHyperlink"/>
    <w:basedOn w:val="DefaultParagraphFont"/>
    <w:rsid w:val="005F092C"/>
    <w:rPr>
      <w:color w:val="800080"/>
      <w:u w:val="single"/>
    </w:rPr>
  </w:style>
  <w:style w:type="character" w:styleId="Hyperlink">
    <w:name w:val="Hyperlink"/>
    <w:basedOn w:val="DefaultParagraphFont"/>
    <w:rsid w:val="004D1C40"/>
    <w:rPr>
      <w:color w:val="467886" w:themeColor="hyperlink"/>
      <w:u w:val="single"/>
    </w:rPr>
  </w:style>
  <w:style w:type="character" w:styleId="UnresolvedMention">
    <w:name w:val="Unresolved Mention"/>
    <w:basedOn w:val="DefaultParagraphFont"/>
    <w:uiPriority w:val="99"/>
    <w:semiHidden/>
    <w:unhideWhenUsed/>
    <w:rsid w:val="004D1C40"/>
    <w:rPr>
      <w:color w:val="605E5C"/>
      <w:shd w:val="clear" w:color="auto" w:fill="E1DFDD"/>
    </w:rPr>
  </w:style>
  <w:style w:type="character" w:styleId="Strong">
    <w:name w:val="Strong"/>
    <w:uiPriority w:val="22"/>
    <w:qFormat/>
    <w:rsid w:val="005C4B6C"/>
    <w:rPr>
      <w:b/>
      <w:bCs/>
    </w:rPr>
  </w:style>
  <w:style w:type="character" w:customStyle="1" w:styleId="apple-tab-span">
    <w:name w:val="apple-tab-span"/>
    <w:basedOn w:val="DefaultParagraphFont"/>
    <w:rsid w:val="000A5C76"/>
  </w:style>
  <w:style w:type="paragraph" w:styleId="NormalWeb">
    <w:name w:val="Normal (Web)"/>
    <w:basedOn w:val="Normal"/>
    <w:rsid w:val="00BC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322">
      <w:bodyDiv w:val="1"/>
      <w:marLeft w:val="0"/>
      <w:marRight w:val="0"/>
      <w:marTop w:val="0"/>
      <w:marBottom w:val="0"/>
      <w:divBdr>
        <w:top w:val="none" w:sz="0" w:space="0" w:color="auto"/>
        <w:left w:val="none" w:sz="0" w:space="0" w:color="auto"/>
        <w:bottom w:val="none" w:sz="0" w:space="0" w:color="auto"/>
        <w:right w:val="none" w:sz="0" w:space="0" w:color="auto"/>
      </w:divBdr>
    </w:div>
    <w:div w:id="52588319">
      <w:bodyDiv w:val="1"/>
      <w:marLeft w:val="0"/>
      <w:marRight w:val="0"/>
      <w:marTop w:val="0"/>
      <w:marBottom w:val="0"/>
      <w:divBdr>
        <w:top w:val="none" w:sz="0" w:space="0" w:color="auto"/>
        <w:left w:val="none" w:sz="0" w:space="0" w:color="auto"/>
        <w:bottom w:val="none" w:sz="0" w:space="0" w:color="auto"/>
        <w:right w:val="none" w:sz="0" w:space="0" w:color="auto"/>
      </w:divBdr>
    </w:div>
    <w:div w:id="73817784">
      <w:bodyDiv w:val="1"/>
      <w:marLeft w:val="0"/>
      <w:marRight w:val="0"/>
      <w:marTop w:val="0"/>
      <w:marBottom w:val="0"/>
      <w:divBdr>
        <w:top w:val="none" w:sz="0" w:space="0" w:color="auto"/>
        <w:left w:val="none" w:sz="0" w:space="0" w:color="auto"/>
        <w:bottom w:val="none" w:sz="0" w:space="0" w:color="auto"/>
        <w:right w:val="none" w:sz="0" w:space="0" w:color="auto"/>
      </w:divBdr>
    </w:div>
    <w:div w:id="80492606">
      <w:bodyDiv w:val="1"/>
      <w:marLeft w:val="0"/>
      <w:marRight w:val="0"/>
      <w:marTop w:val="0"/>
      <w:marBottom w:val="0"/>
      <w:divBdr>
        <w:top w:val="none" w:sz="0" w:space="0" w:color="auto"/>
        <w:left w:val="none" w:sz="0" w:space="0" w:color="auto"/>
        <w:bottom w:val="none" w:sz="0" w:space="0" w:color="auto"/>
        <w:right w:val="none" w:sz="0" w:space="0" w:color="auto"/>
      </w:divBdr>
    </w:div>
    <w:div w:id="188033086">
      <w:bodyDiv w:val="1"/>
      <w:marLeft w:val="0"/>
      <w:marRight w:val="0"/>
      <w:marTop w:val="0"/>
      <w:marBottom w:val="0"/>
      <w:divBdr>
        <w:top w:val="none" w:sz="0" w:space="0" w:color="auto"/>
        <w:left w:val="none" w:sz="0" w:space="0" w:color="auto"/>
        <w:bottom w:val="none" w:sz="0" w:space="0" w:color="auto"/>
        <w:right w:val="none" w:sz="0" w:space="0" w:color="auto"/>
      </w:divBdr>
    </w:div>
    <w:div w:id="236135675">
      <w:bodyDiv w:val="1"/>
      <w:marLeft w:val="0"/>
      <w:marRight w:val="0"/>
      <w:marTop w:val="0"/>
      <w:marBottom w:val="0"/>
      <w:divBdr>
        <w:top w:val="none" w:sz="0" w:space="0" w:color="auto"/>
        <w:left w:val="none" w:sz="0" w:space="0" w:color="auto"/>
        <w:bottom w:val="none" w:sz="0" w:space="0" w:color="auto"/>
        <w:right w:val="none" w:sz="0" w:space="0" w:color="auto"/>
      </w:divBdr>
      <w:divsChild>
        <w:div w:id="2080594117">
          <w:marLeft w:val="0"/>
          <w:marRight w:val="0"/>
          <w:marTop w:val="0"/>
          <w:marBottom w:val="2337"/>
          <w:divBdr>
            <w:top w:val="single" w:sz="2" w:space="0" w:color="E4E4E7"/>
            <w:left w:val="single" w:sz="2" w:space="0" w:color="E4E4E7"/>
            <w:bottom w:val="single" w:sz="2" w:space="0" w:color="E4E4E7"/>
            <w:right w:val="single" w:sz="2" w:space="0" w:color="E4E4E7"/>
          </w:divBdr>
          <w:divsChild>
            <w:div w:id="370224721">
              <w:marLeft w:val="0"/>
              <w:marRight w:val="0"/>
              <w:marTop w:val="0"/>
              <w:marBottom w:val="0"/>
              <w:divBdr>
                <w:top w:val="single" w:sz="2" w:space="0" w:color="E4E4E7"/>
                <w:left w:val="single" w:sz="2" w:space="0" w:color="E4E4E7"/>
                <w:bottom w:val="single" w:sz="2" w:space="0" w:color="E4E4E7"/>
                <w:right w:val="single" w:sz="2" w:space="0" w:color="E4E4E7"/>
              </w:divBdr>
              <w:divsChild>
                <w:div w:id="1153374407">
                  <w:marLeft w:val="0"/>
                  <w:marRight w:val="0"/>
                  <w:marTop w:val="0"/>
                  <w:marBottom w:val="0"/>
                  <w:divBdr>
                    <w:top w:val="single" w:sz="2" w:space="0" w:color="E4E4E7"/>
                    <w:left w:val="single" w:sz="2" w:space="0" w:color="E4E4E7"/>
                    <w:bottom w:val="single" w:sz="2" w:space="0" w:color="E4E4E7"/>
                    <w:right w:val="single" w:sz="2" w:space="0" w:color="E4E4E7"/>
                  </w:divBdr>
                  <w:divsChild>
                    <w:div w:id="1055813261">
                      <w:marLeft w:val="0"/>
                      <w:marRight w:val="0"/>
                      <w:marTop w:val="0"/>
                      <w:marBottom w:val="0"/>
                      <w:divBdr>
                        <w:top w:val="single" w:sz="2" w:space="0" w:color="E4E4E7"/>
                        <w:left w:val="single" w:sz="2" w:space="0" w:color="E4E4E7"/>
                        <w:bottom w:val="single" w:sz="2" w:space="0" w:color="E4E4E7"/>
                        <w:right w:val="single" w:sz="2" w:space="0" w:color="E4E4E7"/>
                      </w:divBdr>
                      <w:divsChild>
                        <w:div w:id="724724552">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283342031">
      <w:bodyDiv w:val="1"/>
      <w:marLeft w:val="0"/>
      <w:marRight w:val="0"/>
      <w:marTop w:val="0"/>
      <w:marBottom w:val="0"/>
      <w:divBdr>
        <w:top w:val="none" w:sz="0" w:space="0" w:color="auto"/>
        <w:left w:val="none" w:sz="0" w:space="0" w:color="auto"/>
        <w:bottom w:val="none" w:sz="0" w:space="0" w:color="auto"/>
        <w:right w:val="none" w:sz="0" w:space="0" w:color="auto"/>
      </w:divBdr>
    </w:div>
    <w:div w:id="326635200">
      <w:bodyDiv w:val="1"/>
      <w:marLeft w:val="0"/>
      <w:marRight w:val="0"/>
      <w:marTop w:val="0"/>
      <w:marBottom w:val="0"/>
      <w:divBdr>
        <w:top w:val="none" w:sz="0" w:space="0" w:color="auto"/>
        <w:left w:val="none" w:sz="0" w:space="0" w:color="auto"/>
        <w:bottom w:val="none" w:sz="0" w:space="0" w:color="auto"/>
        <w:right w:val="none" w:sz="0" w:space="0" w:color="auto"/>
      </w:divBdr>
    </w:div>
    <w:div w:id="364403068">
      <w:bodyDiv w:val="1"/>
      <w:marLeft w:val="0"/>
      <w:marRight w:val="0"/>
      <w:marTop w:val="0"/>
      <w:marBottom w:val="0"/>
      <w:divBdr>
        <w:top w:val="none" w:sz="0" w:space="0" w:color="auto"/>
        <w:left w:val="none" w:sz="0" w:space="0" w:color="auto"/>
        <w:bottom w:val="none" w:sz="0" w:space="0" w:color="auto"/>
        <w:right w:val="none" w:sz="0" w:space="0" w:color="auto"/>
      </w:divBdr>
    </w:div>
    <w:div w:id="710108962">
      <w:bodyDiv w:val="1"/>
      <w:marLeft w:val="0"/>
      <w:marRight w:val="0"/>
      <w:marTop w:val="0"/>
      <w:marBottom w:val="0"/>
      <w:divBdr>
        <w:top w:val="none" w:sz="0" w:space="0" w:color="auto"/>
        <w:left w:val="none" w:sz="0" w:space="0" w:color="auto"/>
        <w:bottom w:val="none" w:sz="0" w:space="0" w:color="auto"/>
        <w:right w:val="none" w:sz="0" w:space="0" w:color="auto"/>
      </w:divBdr>
    </w:div>
    <w:div w:id="841355231">
      <w:bodyDiv w:val="1"/>
      <w:marLeft w:val="0"/>
      <w:marRight w:val="0"/>
      <w:marTop w:val="0"/>
      <w:marBottom w:val="0"/>
      <w:divBdr>
        <w:top w:val="none" w:sz="0" w:space="0" w:color="auto"/>
        <w:left w:val="none" w:sz="0" w:space="0" w:color="auto"/>
        <w:bottom w:val="none" w:sz="0" w:space="0" w:color="auto"/>
        <w:right w:val="none" w:sz="0" w:space="0" w:color="auto"/>
      </w:divBdr>
    </w:div>
    <w:div w:id="954479415">
      <w:bodyDiv w:val="1"/>
      <w:marLeft w:val="0"/>
      <w:marRight w:val="0"/>
      <w:marTop w:val="0"/>
      <w:marBottom w:val="0"/>
      <w:divBdr>
        <w:top w:val="none" w:sz="0" w:space="0" w:color="auto"/>
        <w:left w:val="none" w:sz="0" w:space="0" w:color="auto"/>
        <w:bottom w:val="none" w:sz="0" w:space="0" w:color="auto"/>
        <w:right w:val="none" w:sz="0" w:space="0" w:color="auto"/>
      </w:divBdr>
      <w:divsChild>
        <w:div w:id="28842794">
          <w:marLeft w:val="0"/>
          <w:marRight w:val="0"/>
          <w:marTop w:val="0"/>
          <w:marBottom w:val="2337"/>
          <w:divBdr>
            <w:top w:val="single" w:sz="2" w:space="0" w:color="E4E4E7"/>
            <w:left w:val="single" w:sz="2" w:space="0" w:color="E4E4E7"/>
            <w:bottom w:val="single" w:sz="2" w:space="0" w:color="E4E4E7"/>
            <w:right w:val="single" w:sz="2" w:space="0" w:color="E4E4E7"/>
          </w:divBdr>
          <w:divsChild>
            <w:div w:id="784663382">
              <w:marLeft w:val="0"/>
              <w:marRight w:val="0"/>
              <w:marTop w:val="0"/>
              <w:marBottom w:val="0"/>
              <w:divBdr>
                <w:top w:val="single" w:sz="2" w:space="0" w:color="E4E4E7"/>
                <w:left w:val="single" w:sz="2" w:space="0" w:color="E4E4E7"/>
                <w:bottom w:val="single" w:sz="2" w:space="0" w:color="E4E4E7"/>
                <w:right w:val="single" w:sz="2" w:space="0" w:color="E4E4E7"/>
              </w:divBdr>
              <w:divsChild>
                <w:div w:id="1551264003">
                  <w:marLeft w:val="0"/>
                  <w:marRight w:val="0"/>
                  <w:marTop w:val="0"/>
                  <w:marBottom w:val="0"/>
                  <w:divBdr>
                    <w:top w:val="single" w:sz="2" w:space="0" w:color="E4E4E7"/>
                    <w:left w:val="single" w:sz="2" w:space="0" w:color="E4E4E7"/>
                    <w:bottom w:val="single" w:sz="2" w:space="0" w:color="E4E4E7"/>
                    <w:right w:val="single" w:sz="2" w:space="0" w:color="E4E4E7"/>
                  </w:divBdr>
                  <w:divsChild>
                    <w:div w:id="1849708835">
                      <w:marLeft w:val="0"/>
                      <w:marRight w:val="0"/>
                      <w:marTop w:val="0"/>
                      <w:marBottom w:val="0"/>
                      <w:divBdr>
                        <w:top w:val="single" w:sz="2" w:space="0" w:color="E4E4E7"/>
                        <w:left w:val="single" w:sz="2" w:space="0" w:color="E4E4E7"/>
                        <w:bottom w:val="single" w:sz="2" w:space="0" w:color="E4E4E7"/>
                        <w:right w:val="single" w:sz="2" w:space="0" w:color="E4E4E7"/>
                      </w:divBdr>
                      <w:divsChild>
                        <w:div w:id="613560296">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142042748">
      <w:bodyDiv w:val="1"/>
      <w:marLeft w:val="0"/>
      <w:marRight w:val="0"/>
      <w:marTop w:val="0"/>
      <w:marBottom w:val="0"/>
      <w:divBdr>
        <w:top w:val="none" w:sz="0" w:space="0" w:color="auto"/>
        <w:left w:val="none" w:sz="0" w:space="0" w:color="auto"/>
        <w:bottom w:val="none" w:sz="0" w:space="0" w:color="auto"/>
        <w:right w:val="none" w:sz="0" w:space="0" w:color="auto"/>
      </w:divBdr>
    </w:div>
    <w:div w:id="1186291439">
      <w:bodyDiv w:val="1"/>
      <w:marLeft w:val="0"/>
      <w:marRight w:val="0"/>
      <w:marTop w:val="0"/>
      <w:marBottom w:val="0"/>
      <w:divBdr>
        <w:top w:val="none" w:sz="0" w:space="0" w:color="auto"/>
        <w:left w:val="none" w:sz="0" w:space="0" w:color="auto"/>
        <w:bottom w:val="none" w:sz="0" w:space="0" w:color="auto"/>
        <w:right w:val="none" w:sz="0" w:space="0" w:color="auto"/>
      </w:divBdr>
    </w:div>
    <w:div w:id="1398940002">
      <w:bodyDiv w:val="1"/>
      <w:marLeft w:val="0"/>
      <w:marRight w:val="0"/>
      <w:marTop w:val="0"/>
      <w:marBottom w:val="0"/>
      <w:divBdr>
        <w:top w:val="none" w:sz="0" w:space="0" w:color="auto"/>
        <w:left w:val="none" w:sz="0" w:space="0" w:color="auto"/>
        <w:bottom w:val="none" w:sz="0" w:space="0" w:color="auto"/>
        <w:right w:val="none" w:sz="0" w:space="0" w:color="auto"/>
      </w:divBdr>
    </w:div>
    <w:div w:id="1652442922">
      <w:bodyDiv w:val="1"/>
      <w:marLeft w:val="0"/>
      <w:marRight w:val="0"/>
      <w:marTop w:val="0"/>
      <w:marBottom w:val="0"/>
      <w:divBdr>
        <w:top w:val="none" w:sz="0" w:space="0" w:color="auto"/>
        <w:left w:val="none" w:sz="0" w:space="0" w:color="auto"/>
        <w:bottom w:val="none" w:sz="0" w:space="0" w:color="auto"/>
        <w:right w:val="none" w:sz="0" w:space="0" w:color="auto"/>
      </w:divBdr>
    </w:div>
    <w:div w:id="1928223898">
      <w:bodyDiv w:val="1"/>
      <w:marLeft w:val="0"/>
      <w:marRight w:val="0"/>
      <w:marTop w:val="0"/>
      <w:marBottom w:val="0"/>
      <w:divBdr>
        <w:top w:val="none" w:sz="0" w:space="0" w:color="auto"/>
        <w:left w:val="none" w:sz="0" w:space="0" w:color="auto"/>
        <w:bottom w:val="none" w:sz="0" w:space="0" w:color="auto"/>
        <w:right w:val="none" w:sz="0" w:space="0" w:color="auto"/>
      </w:divBdr>
    </w:div>
    <w:div w:id="2087145445">
      <w:bodyDiv w:val="1"/>
      <w:marLeft w:val="0"/>
      <w:marRight w:val="0"/>
      <w:marTop w:val="0"/>
      <w:marBottom w:val="0"/>
      <w:divBdr>
        <w:top w:val="none" w:sz="0" w:space="0" w:color="auto"/>
        <w:left w:val="none" w:sz="0" w:space="0" w:color="auto"/>
        <w:bottom w:val="none" w:sz="0" w:space="0" w:color="auto"/>
        <w:right w:val="none" w:sz="0" w:space="0" w:color="auto"/>
      </w:divBdr>
    </w:div>
    <w:div w:id="21312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CBF6-825C-4465-A43B-753DEFDD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IEEE Paper Word Template in US Letter Page Size (V3)</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Marschall, William Donald (fmb8ek)</cp:lastModifiedBy>
  <cp:revision>2</cp:revision>
  <cp:lastPrinted>2025-07-06T02:57:00Z</cp:lastPrinted>
  <dcterms:created xsi:type="dcterms:W3CDTF">2025-07-06T09:03:00Z</dcterms:created>
  <dcterms:modified xsi:type="dcterms:W3CDTF">2025-07-06T09:03:00Z</dcterms:modified>
</cp:coreProperties>
</file>