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ziyp5aki6m2"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タブ 1</w:t>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業務フローについて</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①広告掲載により集客</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②メール、LINE等で登録者情報の収集</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・メールは基本的に同一FMT</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・LINEはFMT等はなし</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③一次対応の実施</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・登録案件のリスト化</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・登録案件の統計データ化</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④二次対応の実施</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・相談票ファイルにて対応</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⑤受任（資格者面談）</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・相談票ファイルより依頼者情報、債務情報、入金スケジュール、弁済予定スケジュールをkintoneへ取込み</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⑥入金</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・入金スケジュールを基に、入金日のお知らせをLINEにて送付</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・入金スケジュールに対し、実入金結果を反映、チェック</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⑦債権者と交渉</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・債権者へ受任通知の送付</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・債権者より債権調査票（借入詳細）の回収、反映</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・債権者へ和解交渉の提案、和解交渉、和解結果の反映</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⑧債権者と和解</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・和解書（示談書）の回収、反映（当方作成も一部あり）</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・弁済スケジュールの更新</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⑨債権者へ弁済の実施</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・銀行システムへCSV投下により、一括弁済</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・弁済結果を反映、チェック</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※適宜、依頼者への確認、報告などがあった際は、連絡を実施</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現状の第一法務事務所様では、⑤以降の案件のみをkintoneへ取込み、管理をしている状況となっております</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今回のご依頼についても、⑤以降をまずは完璧に構築いただくことを最優先で考えております</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その後、②～④の『架電システムとの連携』にて、営業、管理業務の一元化を目指しております</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その際は、現状『藤森事務所で運用しているkintone』の情報が参考になるかと思いますので、またその際に共有させていただきます</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合わせて、各種統計データの可視化も同時にお願いしたいと思います</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・広告の効果測定：費用対効果（CPA、CPO、ROASなど）、登録数、一次対応通過率、二次対応通過率、受任率、受任単価、受任総額、受任後辞任数、辞任率など</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・キャッシュフロー：暫定入金スケジュール、暫定弁済スケジュール、確定弁済スケジュールなどから、入金予定額、実入金額、弁済予定額、報酬充当額、手数料充当額など</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こちらは、そのフェーズになった際に、また詳細をお伝えできればと思っております</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なお、各ワードについても、業界用語、ハウスルールなどもございますので、ご不明なワードがございましたら、適宜ご確認をいただけますと幸いです</w:t>
      </w:r>
    </w:p>
    <w:p w:rsidR="00000000" w:rsidDel="00000000" w:rsidP="00000000" w:rsidRDefault="00000000" w:rsidRPr="00000000" w14:paraId="0000002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iux7ntw6ans"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タブ 2</w:t>
      </w: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[2026/03/24 9:43] 藤森法律事務所 田中さん: ①相談票</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受任した案件の情報をkintoneに取込みをしているファイルとなります</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[2026/03/24 9:47] 藤森法律事務所 田中さん: ②一括振込ファイルの作成</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kintoneデータから、対象案件のみを銀行システムで一括振込を実施するためのファイルを作成するためのエクセルとなります</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当初はこちらのファイルを運用しておりましたが、kintoneでプログラムを構築していただいてからは運用はしておりませんが、その際にもこちらのファイルを基にプログラムを構築していただいてます</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[2026/03/24 9:49] 藤森法律事務所 田中さん: ③希望しているUIのイメージ画像となります</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淡い色、丸みを持った優しい印象、色合いでカテゴリ分け</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などを希望します</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[2026/03/24 9:51] 藤森法律事務所 田中さん: ④逆に、好ましくないUIのイメージ画像となります</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書式が固い、丸みが無く固いイメージ、文字間が狭くゴチャゴチャしている</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こういったUIは避けていただくと嬉しいです</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[2026/03/24 9:52] 藤森法律事務所 田中さん: 他に、何か要望等がございましたら、こちらで共有させていただきます</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また、質疑等が発生した際も、こちらへご連絡をいただけますと幸いです</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045">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