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STELLENBOSCH  /  PROPOSED 2027 OPENING</w:t>
      </w:r>
    </w:p>
    <w:p>
      <w:pPr>
        <w:pStyle w:val="Title"/>
      </w:pPr>
      <w:r>
        <w:t>COWBOY</w:t>
        <w:br/>
        <w:t>CAFE</w:t>
      </w:r>
    </w:p>
    <w:p>
      <w:pPr>
        <w:pStyle w:val="Subtitle"/>
      </w:pPr>
      <w:r>
        <w:t>Investment business plan</w:t>
      </w:r>
    </w:p>
    <w:p>
      <w:r>
        <w:t>Good coffee. A place to stay awhile.</w:t>
      </w:r>
    </w:p>
    <w:p>
      <w:pPr>
        <w:jc w:val="center"/>
      </w:pPr>
      <w:r>
        <w:drawing>
          <wp:inline xmlns:a="http://schemas.openxmlformats.org/drawingml/2006/main" xmlns:pic="http://schemas.openxmlformats.org/drawingml/2006/picture">
            <wp:extent cx="2524644" cy="3154680"/>
            <wp:docPr id="1" name="Picture 1"/>
            <wp:cNvGraphicFramePr>
              <a:graphicFrameLocks noChangeAspect="1"/>
            </wp:cNvGraphicFramePr>
            <a:graphic>
              <a:graphicData uri="http://schemas.openxmlformats.org/drawingml/2006/picture">
                <pic:pic>
                  <pic:nvPicPr>
                    <pic:cNvPr id="0" name="cover-logo.png"/>
                    <pic:cNvPicPr/>
                  </pic:nvPicPr>
                  <pic:blipFill>
                    <a:blip r:embed="rId13"/>
                    <a:stretch>
                      <a:fillRect/>
                    </a:stretch>
                  </pic:blipFill>
                  <pic:spPr>
                    <a:xfrm>
                      <a:off x="0" y="0"/>
                      <a:ext cx="2524644" cy="3154680"/>
                    </a:xfrm>
                    <a:prstGeom prst="rect"/>
                  </pic:spPr>
                </pic:pic>
              </a:graphicData>
            </a:graphic>
          </wp:inline>
        </w:drawing>
      </w:r>
    </w:p>
    <w:p>
      <w:pPr>
        <w:pStyle w:val="Caption"/>
      </w:pPr>
      <w:r/>
    </w:p>
    <w:p>
      <w:r>
        <w:t>Prepared for Marius and Willem</w:t>
        <w:br/>
        <w:t>Issued 7 September 2026 · Decision-stage estimates</w:t>
        <w:br/>
        <w:t>Companion files: PowerPoint pitch deck and live Excel financial model</w:t>
      </w:r>
    </w:p>
    <w:p>
      <w:pPr>
        <w:pStyle w:val="Caption"/>
        <w:pageBreakBefore/>
      </w:pPr>
      <w:r>
        <w:t>01  /  COWBOY CAFE</w:t>
      </w:r>
    </w:p>
    <w:p>
      <w:pPr>
        <w:pStyle w:val="Heading1"/>
      </w:pPr>
      <w:r>
        <w:t>The investment decision</w:t>
      </w:r>
    </w:p>
    <w:p>
      <w:r>
        <w:t>Cowboy Cafe can become a distinctive, compact coffee shop serving central Stellenbosch’s students and young professionals. The expected forecast supports an operating business at 130 mature transactions per day. The present funding proposal is not yet financeable on the personal-loan benchmark reviewed. The recommendation is to proceed with site diligence and quotations, with capital commitment conditional on evidence of demand, approved finance and legal clearance.</w:t>
      </w:r>
    </w:p>
    <w:tbl>
      <w:tblPr>
        <w:tblW w:type="auto" w:w="0"/>
        <w:jc w:val="center"/>
        <w:tblLayout w:type="fixed"/>
        <w:tblLook w:firstColumn="1" w:firstRow="1" w:lastColumn="0" w:lastRow="0" w:noHBand="0" w:noVBand="1" w:val="04A0"/>
      </w:tblPr>
      <w:tblGrid>
        <w:gridCol w:w="6696"/>
        <w:gridCol w:w="3384"/>
      </w:tblGrid>
      <w:tr>
        <w:trPr>
          <w:cantSplit/>
          <w:tblHeader/>
        </w:trPr>
        <w:tc>
          <w:tcPr>
            <w:tcW w:type="dxa" w:w="6696"/>
            <w:vAlign w:val="center"/>
            <w:shd w:fill="29251F"/>
            <w:tcBorders>
              <w:bottom w:val="single" w:sz="4" w:color="D6CEC3"/>
            </w:tcBorders>
          </w:tcPr>
          <w:p>
            <w:pPr>
              <w:spacing w:before="100" w:after="100" w:line="247" w:lineRule="auto"/>
            </w:pPr>
            <w:r>
              <w:rPr>
                <w:rFonts w:ascii="Arial" w:hAnsi="Arial"/>
                <w:b/>
                <w:color w:val="FFFFFF"/>
                <w:sz w:val="20"/>
              </w:rPr>
              <w:t>Expected case</w:t>
            </w:r>
          </w:p>
        </w:tc>
        <w:tc>
          <w:tcPr>
            <w:tcW w:type="dxa" w:w="3384"/>
            <w:vAlign w:val="center"/>
            <w:shd w:fill="29251F"/>
            <w:tcBorders>
              <w:bottom w:val="single" w:sz="4" w:color="D6CEC3"/>
            </w:tcBorders>
          </w:tcPr>
          <w:p>
            <w:pPr>
              <w:spacing w:before="100" w:after="100" w:line="247" w:lineRule="auto"/>
            </w:pPr>
            <w:r>
              <w:rPr>
                <w:rFonts w:ascii="Arial" w:hAnsi="Arial"/>
                <w:b/>
                <w:color w:val="FFFFFF"/>
                <w:sz w:val="20"/>
              </w:rPr>
              <w:t>Issued estimate</w:t>
            </w:r>
          </w:p>
        </w:tc>
      </w:tr>
      <w:tr>
        <w:trPr>
          <w:cantSplit/>
        </w:trPr>
        <w:tc>
          <w:tcPr>
            <w:tcW w:type="dxa" w:w="6696"/>
            <w:vAlign w:val="center"/>
            <w:shd w:fill="F3EFE8"/>
            <w:tcBorders>
              <w:bottom w:val="single" w:sz="4" w:color="D6CEC3"/>
            </w:tcBorders>
          </w:tcPr>
          <w:p>
            <w:pPr>
              <w:spacing w:before="100" w:after="100" w:line="247" w:lineRule="auto"/>
            </w:pPr>
            <w:r>
              <w:rPr>
                <w:rFonts w:ascii="Arial" w:hAnsi="Arial"/>
                <w:b w:val="0"/>
                <w:color w:val="000000"/>
                <w:sz w:val="20"/>
              </w:rPr>
              <w:t>Initial company funding, including VAT</w:t>
            </w:r>
          </w:p>
        </w:tc>
        <w:tc>
          <w:tcPr>
            <w:tcW w:type="dxa" w:w="3384"/>
            <w:vAlign w:val="center"/>
            <w:shd w:fill="F3EFE8"/>
            <w:tcBorders>
              <w:bottom w:val="single" w:sz="4" w:color="D6CEC3"/>
            </w:tcBorders>
          </w:tcPr>
          <w:p>
            <w:pPr>
              <w:spacing w:before="100" w:after="100" w:line="247" w:lineRule="auto"/>
            </w:pPr>
            <w:r>
              <w:rPr>
                <w:rFonts w:ascii="Arial" w:hAnsi="Arial"/>
                <w:b w:val="0"/>
                <w:color w:val="000000"/>
                <w:sz w:val="20"/>
              </w:rPr>
              <w:t>R1,091,740</w:t>
            </w:r>
          </w:p>
        </w:tc>
      </w:tr>
      <w:tr>
        <w:trPr>
          <w:cantSplit/>
        </w:trPr>
        <w:tc>
          <w:tcPr>
            <w:tcW w:type="dxa" w:w="6696"/>
            <w:vAlign w:val="center"/>
            <w:shd w:fill="FFFFFF"/>
            <w:tcBorders>
              <w:bottom w:val="single" w:sz="4" w:color="D6CEC3"/>
            </w:tcBorders>
          </w:tcPr>
          <w:p>
            <w:pPr>
              <w:spacing w:before="100" w:after="100" w:line="247" w:lineRule="auto"/>
            </w:pPr>
            <w:r>
              <w:rPr>
                <w:rFonts w:ascii="Arial" w:hAnsi="Arial"/>
                <w:b w:val="0"/>
                <w:color w:val="000000"/>
                <w:sz w:val="20"/>
              </w:rPr>
              <w:t>Capital expenditure, including contingency</w:t>
            </w:r>
          </w:p>
        </w:tc>
        <w:tc>
          <w:tcPr>
            <w:tcW w:type="dxa" w:w="3384"/>
            <w:vAlign w:val="center"/>
            <w:shd w:fill="FFFFFF"/>
            <w:tcBorders>
              <w:bottom w:val="single" w:sz="4" w:color="D6CEC3"/>
            </w:tcBorders>
          </w:tcPr>
          <w:p>
            <w:pPr>
              <w:spacing w:before="100" w:after="100" w:line="247" w:lineRule="auto"/>
            </w:pPr>
            <w:r>
              <w:rPr>
                <w:rFonts w:ascii="Arial" w:hAnsi="Arial"/>
                <w:b w:val="0"/>
                <w:color w:val="000000"/>
                <w:sz w:val="20"/>
              </w:rPr>
              <w:t>R733,740</w:t>
            </w:r>
          </w:p>
        </w:tc>
      </w:tr>
      <w:tr>
        <w:trPr>
          <w:cantSplit/>
        </w:trPr>
        <w:tc>
          <w:tcPr>
            <w:tcW w:type="dxa" w:w="6696"/>
            <w:vAlign w:val="center"/>
            <w:shd w:fill="F3EFE8"/>
            <w:tcBorders>
              <w:bottom w:val="single" w:sz="4" w:color="D6CEC3"/>
            </w:tcBorders>
          </w:tcPr>
          <w:p>
            <w:pPr>
              <w:spacing w:before="100" w:after="100" w:line="247" w:lineRule="auto"/>
            </w:pPr>
            <w:r>
              <w:rPr>
                <w:rFonts w:ascii="Arial" w:hAnsi="Arial"/>
                <w:b w:val="0"/>
                <w:color w:val="000000"/>
                <w:sz w:val="20"/>
              </w:rPr>
              <w:t>Year 1 net turnover / gross margin</w:t>
            </w:r>
          </w:p>
        </w:tc>
        <w:tc>
          <w:tcPr>
            <w:tcW w:type="dxa" w:w="3384"/>
            <w:vAlign w:val="center"/>
            <w:shd w:fill="F3EFE8"/>
            <w:tcBorders>
              <w:bottom w:val="single" w:sz="4" w:color="D6CEC3"/>
            </w:tcBorders>
          </w:tcPr>
          <w:p>
            <w:pPr>
              <w:spacing w:before="100" w:after="100" w:line="247" w:lineRule="auto"/>
            </w:pPr>
            <w:r>
              <w:rPr>
                <w:rFonts w:ascii="Arial" w:hAnsi="Arial"/>
                <w:b w:val="0"/>
                <w:color w:val="000000"/>
                <w:sz w:val="20"/>
              </w:rPr>
              <w:t>R2,033,969 / 57.7%</w:t>
            </w:r>
          </w:p>
        </w:tc>
      </w:tr>
      <w:tr>
        <w:trPr>
          <w:cantSplit/>
        </w:trPr>
        <w:tc>
          <w:tcPr>
            <w:tcW w:type="dxa" w:w="6696"/>
            <w:vAlign w:val="center"/>
            <w:shd w:fill="FFFFFF"/>
            <w:tcBorders>
              <w:bottom w:val="single" w:sz="4" w:color="D6CEC3"/>
            </w:tcBorders>
          </w:tcPr>
          <w:p>
            <w:pPr>
              <w:spacing w:before="100" w:after="100" w:line="247" w:lineRule="auto"/>
            </w:pPr>
            <w:r>
              <w:rPr>
                <w:rFonts w:ascii="Arial" w:hAnsi="Arial"/>
                <w:b w:val="0"/>
                <w:color w:val="000000"/>
                <w:sz w:val="20"/>
              </w:rPr>
              <w:t>Year 1 EBITDA / profit after tax</w:t>
            </w:r>
          </w:p>
        </w:tc>
        <w:tc>
          <w:tcPr>
            <w:tcW w:type="dxa" w:w="3384"/>
            <w:vAlign w:val="center"/>
            <w:shd w:fill="FFFFFF"/>
            <w:tcBorders>
              <w:bottom w:val="single" w:sz="4" w:color="D6CEC3"/>
            </w:tcBorders>
          </w:tcPr>
          <w:p>
            <w:pPr>
              <w:spacing w:before="100" w:after="100" w:line="247" w:lineRule="auto"/>
            </w:pPr>
            <w:r>
              <w:rPr>
                <w:rFonts w:ascii="Arial" w:hAnsi="Arial"/>
                <w:b w:val="0"/>
                <w:color w:val="000000"/>
                <w:sz w:val="20"/>
              </w:rPr>
              <w:t>R240,903 / R31,274</w:t>
            </w:r>
          </w:p>
        </w:tc>
      </w:tr>
      <w:tr>
        <w:trPr>
          <w:cantSplit/>
        </w:trPr>
        <w:tc>
          <w:tcPr>
            <w:tcW w:type="dxa" w:w="6696"/>
            <w:vAlign w:val="center"/>
            <w:shd w:fill="F3EFE8"/>
            <w:tcBorders>
              <w:bottom w:val="single" w:sz="4" w:color="D6CEC3"/>
            </w:tcBorders>
          </w:tcPr>
          <w:p>
            <w:pPr>
              <w:spacing w:before="100" w:after="100" w:line="247" w:lineRule="auto"/>
            </w:pPr>
            <w:r>
              <w:rPr>
                <w:rFonts w:ascii="Arial" w:hAnsi="Arial"/>
                <w:b w:val="0"/>
                <w:color w:val="000000"/>
                <w:sz w:val="20"/>
              </w:rPr>
              <w:t>Operating break-even</w:t>
            </w:r>
          </w:p>
        </w:tc>
        <w:tc>
          <w:tcPr>
            <w:tcW w:type="dxa" w:w="3384"/>
            <w:vAlign w:val="center"/>
            <w:shd w:fill="F3EFE8"/>
            <w:tcBorders>
              <w:bottom w:val="single" w:sz="4" w:color="D6CEC3"/>
            </w:tcBorders>
          </w:tcPr>
          <w:p>
            <w:pPr>
              <w:spacing w:before="100" w:after="100" w:line="247" w:lineRule="auto"/>
            </w:pPr>
            <w:r>
              <w:rPr>
                <w:rFonts w:ascii="Arial" w:hAnsi="Arial"/>
                <w:b w:val="0"/>
                <w:color w:val="000000"/>
                <w:sz w:val="20"/>
              </w:rPr>
              <w:t>94 whole transactions per day</w:t>
            </w:r>
          </w:p>
        </w:tc>
      </w:tr>
      <w:tr>
        <w:trPr>
          <w:cantSplit/>
        </w:trPr>
        <w:tc>
          <w:tcPr>
            <w:tcW w:type="dxa" w:w="6696"/>
            <w:vAlign w:val="center"/>
            <w:shd w:fill="FFFFFF"/>
            <w:tcBorders>
              <w:bottom w:val="single" w:sz="4" w:color="D6CEC3"/>
            </w:tcBorders>
          </w:tcPr>
          <w:p>
            <w:pPr>
              <w:spacing w:before="100" w:after="100" w:line="247" w:lineRule="auto"/>
            </w:pPr>
            <w:r>
              <w:rPr>
                <w:rFonts w:ascii="Arial" w:hAnsi="Arial"/>
                <w:b w:val="0"/>
                <w:color w:val="000000"/>
                <w:sz w:val="20"/>
              </w:rPr>
              <w:t>Initial founder loan, each</w:t>
            </w:r>
          </w:p>
        </w:tc>
        <w:tc>
          <w:tcPr>
            <w:tcW w:type="dxa" w:w="3384"/>
            <w:vAlign w:val="center"/>
            <w:shd w:fill="FFFFFF"/>
            <w:tcBorders>
              <w:bottom w:val="single" w:sz="4" w:color="D6CEC3"/>
            </w:tcBorders>
          </w:tcPr>
          <w:p>
            <w:pPr>
              <w:spacing w:before="100" w:after="100" w:line="247" w:lineRule="auto"/>
            </w:pPr>
            <w:r>
              <w:rPr>
                <w:rFonts w:ascii="Arial" w:hAnsi="Arial"/>
                <w:b w:val="0"/>
                <w:color w:val="000000"/>
                <w:sz w:val="20"/>
              </w:rPr>
              <w:t>R545,820</w:t>
            </w:r>
          </w:p>
        </w:tc>
      </w:tr>
      <w:tr>
        <w:trPr>
          <w:cantSplit/>
        </w:trPr>
        <w:tc>
          <w:tcPr>
            <w:tcW w:type="dxa" w:w="6696"/>
            <w:vAlign w:val="center"/>
            <w:shd w:fill="F3EFE8"/>
            <w:tcBorders>
              <w:bottom w:val="single" w:sz="4" w:color="D6CEC3"/>
            </w:tcBorders>
          </w:tcPr>
          <w:p>
            <w:pPr>
              <w:spacing w:before="100" w:after="100" w:line="247" w:lineRule="auto"/>
            </w:pPr>
            <w:r>
              <w:rPr>
                <w:rFonts w:ascii="Arial" w:hAnsi="Arial"/>
                <w:b w:val="0"/>
                <w:color w:val="000000"/>
                <w:sz w:val="20"/>
              </w:rPr>
              <w:t>Peak outside cash contribution, each, 36 months</w:t>
            </w:r>
          </w:p>
        </w:tc>
        <w:tc>
          <w:tcPr>
            <w:tcW w:type="dxa" w:w="3384"/>
            <w:vAlign w:val="center"/>
            <w:shd w:fill="F3EFE8"/>
            <w:tcBorders>
              <w:bottom w:val="single" w:sz="4" w:color="D6CEC3"/>
            </w:tcBorders>
          </w:tcPr>
          <w:p>
            <w:pPr>
              <w:spacing w:before="100" w:after="100" w:line="247" w:lineRule="auto"/>
            </w:pPr>
            <w:r>
              <w:rPr>
                <w:rFonts w:ascii="Arial" w:hAnsi="Arial"/>
                <w:b w:val="0"/>
                <w:color w:val="000000"/>
                <w:sz w:val="20"/>
              </w:rPr>
              <w:t>R101,146</w:t>
            </w:r>
          </w:p>
        </w:tc>
      </w:tr>
    </w:tbl>
    <w:p/>
    <w:p>
      <w:r>
        <w:t>The base case requires R545,820 from each founder. This exceeds the R350,000 individual loan ceiling advertised by the benchmark lender by R195,820 each. The model illustrates the full borrowing requirement; it does not assume the lender has approved it. Alternative facilities, additional capital or a lower fit-out budget are necessary before the business can proceed on this basis.</w:t>
      </w:r>
    </w:p>
    <w:p>
      <w:r>
        <w:t>At 80 mature transactions per day, the conservative case loses R238,640 of EBITDA in Year 1 and needs R264,551 of additional company funding over 36 months. This downside must be affordable without relying on a future buyer or a tax benefit.</w:t>
      </w:r>
    </w:p>
    <w:p>
      <w:pPr>
        <w:pStyle w:val="Caption"/>
      </w:pPr>
      <w:r>
        <w:t>Financial source: companion Excel, Overview and Funding; bank product reference [S9]. Figures rounded to rand. EBITDA excludes depreciation, interest and tax.</w:t>
      </w:r>
    </w:p>
    <w:p>
      <w:pPr>
        <w:pStyle w:val="Caption"/>
        <w:pageBreakBefore/>
      </w:pPr>
      <w:r>
        <w:t>02  /  COWBOY CAFE</w:t>
      </w:r>
    </w:p>
    <w:p>
      <w:pPr>
        <w:pStyle w:val="Heading1"/>
      </w:pPr>
      <w:r>
        <w:t>Scope, evidence and how to use this plan</w:t>
      </w:r>
    </w:p>
    <w:p>
      <w:r>
        <w:t>This is a decision-stage plan for a new café, not a valuation or a report of existing trading performance. No lease, supplier agreement, loan approval or gym partnership has been supplied. Exact capex, rent, footfall and sales cannot be established until the site and quotations are available. The calculations are explicit and editable; commercial precision still depends on those inputs.</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shd w:fill="29251F"/>
            <w:tcBorders>
              <w:bottom w:val="single" w:sz="4" w:color="D6CEC3"/>
            </w:tcBorders>
          </w:tcPr>
          <w:p>
            <w:pPr>
              <w:spacing w:before="100" w:after="100" w:line="247" w:lineRule="auto"/>
            </w:pPr>
            <w:r>
              <w:rPr>
                <w:rFonts w:ascii="Arial" w:hAnsi="Arial"/>
                <w:b/>
                <w:color w:val="FFFFFF"/>
                <w:sz w:val="20"/>
              </w:rPr>
              <w:t>Status</w:t>
            </w:r>
          </w:p>
        </w:tc>
        <w:tc>
          <w:tcPr>
            <w:tcW w:type="dxa" w:w="7704"/>
            <w:vAlign w:val="center"/>
            <w:shd w:fill="29251F"/>
            <w:tcBorders>
              <w:bottom w:val="single" w:sz="4" w:color="D6CEC3"/>
            </w:tcBorders>
          </w:tcPr>
          <w:p>
            <w:pPr>
              <w:spacing w:before="100" w:after="100" w:line="247" w:lineRule="auto"/>
            </w:pPr>
            <w:r>
              <w:rPr>
                <w:rFonts w:ascii="Arial" w:hAnsi="Arial"/>
                <w:b/>
                <w:color w:val="FFFFFF"/>
                <w:sz w:val="20"/>
              </w:rPr>
              <w:t>What it means here</w:t>
            </w:r>
          </w:p>
        </w:tc>
      </w:tr>
      <w:tr>
        <w:trPr>
          <w:cantSplit/>
        </w:trPr>
        <w:tc>
          <w:tcPr>
            <w:tcW w:type="dxa" w:w="2376"/>
            <w:vAlign w:val="center"/>
            <w:shd w:fill="F3EFE8"/>
            <w:tcBorders>
              <w:bottom w:val="single" w:sz="4" w:color="D6CEC3"/>
            </w:tcBorders>
          </w:tcPr>
          <w:p>
            <w:pPr>
              <w:spacing w:before="100" w:after="100" w:line="247" w:lineRule="auto"/>
            </w:pPr>
            <w:r>
              <w:rPr>
                <w:rFonts w:ascii="Arial" w:hAnsi="Arial"/>
                <w:b w:val="0"/>
                <w:color w:val="000000"/>
                <w:sz w:val="20"/>
              </w:rPr>
              <w:t>Founder brief</w:t>
            </w:r>
          </w:p>
        </w:tc>
        <w:tc>
          <w:tcPr>
            <w:tcW w:type="dxa" w:w="7704"/>
            <w:vAlign w:val="center"/>
            <w:shd w:fill="F3EFE8"/>
            <w:tcBorders>
              <w:bottom w:val="single" w:sz="4" w:color="D6CEC3"/>
            </w:tcBorders>
          </w:tcPr>
          <w:p>
            <w:pPr>
              <w:spacing w:before="100" w:after="100" w:line="247" w:lineRule="auto"/>
            </w:pPr>
            <w:r>
              <w:rPr>
                <w:rFonts w:ascii="Arial" w:hAnsi="Arial"/>
                <w:b w:val="0"/>
                <w:color w:val="000000"/>
                <w:sz w:val="20"/>
              </w:rPr>
              <w:t>Central Stellenbosch, 12–15 seats, takeaway and sit-down, new equipment, three employees, no kitchen, proposed 2027 launch.</w:t>
            </w:r>
          </w:p>
        </w:tc>
      </w:tr>
      <w:tr>
        <w:trPr>
          <w:cantSplit/>
        </w:trPr>
        <w:tc>
          <w:tcPr>
            <w:tcW w:type="dxa" w:w="2376"/>
            <w:vAlign w:val="center"/>
            <w:shd w:fill="FFFFFF"/>
            <w:tcBorders>
              <w:bottom w:val="single" w:sz="4" w:color="D6CEC3"/>
            </w:tcBorders>
          </w:tcPr>
          <w:p>
            <w:pPr>
              <w:spacing w:before="100" w:after="100" w:line="247" w:lineRule="auto"/>
            </w:pPr>
            <w:r>
              <w:rPr>
                <w:rFonts w:ascii="Arial" w:hAnsi="Arial"/>
                <w:b w:val="0"/>
                <w:color w:val="000000"/>
                <w:sz w:val="20"/>
              </w:rPr>
              <w:t>Observed public benchmark</w:t>
            </w:r>
          </w:p>
        </w:tc>
        <w:tc>
          <w:tcPr>
            <w:tcW w:type="dxa" w:w="7704"/>
            <w:vAlign w:val="center"/>
            <w:shd w:fill="FFFFFF"/>
            <w:tcBorders>
              <w:bottom w:val="single" w:sz="4" w:color="D6CEC3"/>
            </w:tcBorders>
          </w:tcPr>
          <w:p>
            <w:pPr>
              <w:spacing w:before="100" w:after="100" w:line="247" w:lineRule="auto"/>
            </w:pPr>
            <w:r>
              <w:rPr>
                <w:rFonts w:ascii="Arial" w:hAnsi="Arial"/>
                <w:b w:val="0"/>
                <w:color w:val="000000"/>
                <w:sz w:val="20"/>
              </w:rPr>
              <w:t>Examples include Plato menu prices, coffee-equipment bundles, branded cups, a central retail listing and published tax rates.</w:t>
            </w:r>
          </w:p>
        </w:tc>
      </w:tr>
      <w:tr>
        <w:trPr>
          <w:cantSplit/>
        </w:trPr>
        <w:tc>
          <w:tcPr>
            <w:tcW w:type="dxa" w:w="2376"/>
            <w:vAlign w:val="center"/>
            <w:shd w:fill="F3EFE8"/>
            <w:tcBorders>
              <w:bottom w:val="single" w:sz="4" w:color="D6CEC3"/>
            </w:tcBorders>
          </w:tcPr>
          <w:p>
            <w:pPr>
              <w:spacing w:before="100" w:after="100" w:line="247" w:lineRule="auto"/>
            </w:pPr>
            <w:r>
              <w:rPr>
                <w:rFonts w:ascii="Arial" w:hAnsi="Arial"/>
                <w:b w:val="0"/>
                <w:color w:val="000000"/>
                <w:sz w:val="20"/>
              </w:rPr>
              <w:t>Planning assumption</w:t>
            </w:r>
          </w:p>
        </w:tc>
        <w:tc>
          <w:tcPr>
            <w:tcW w:type="dxa" w:w="7704"/>
            <w:vAlign w:val="center"/>
            <w:shd w:fill="F3EFE8"/>
            <w:tcBorders>
              <w:bottom w:val="single" w:sz="4" w:color="D6CEC3"/>
            </w:tcBorders>
          </w:tcPr>
          <w:p>
            <w:pPr>
              <w:spacing w:before="100" w:after="100" w:line="247" w:lineRule="auto"/>
            </w:pPr>
            <w:r>
              <w:rPr>
                <w:rFonts w:ascii="Arial" w:hAnsi="Arial"/>
                <w:b w:val="0"/>
                <w:color w:val="000000"/>
                <w:sz w:val="20"/>
              </w:rPr>
              <w:t>Transaction volumes, conversion, pastry costs, matcha wholesale cost, fit-out allowances, lender pricing and seasonality.</w:t>
            </w:r>
          </w:p>
        </w:tc>
      </w:tr>
      <w:tr>
        <w:trPr>
          <w:cantSplit/>
        </w:trPr>
        <w:tc>
          <w:tcPr>
            <w:tcW w:type="dxa" w:w="2376"/>
            <w:vAlign w:val="center"/>
            <w:shd w:fill="FFFFFF"/>
            <w:tcBorders>
              <w:bottom w:val="single" w:sz="4" w:color="D6CEC3"/>
            </w:tcBorders>
          </w:tcPr>
          <w:p>
            <w:pPr>
              <w:spacing w:before="100" w:after="100" w:line="247" w:lineRule="auto"/>
            </w:pPr>
            <w:r>
              <w:rPr>
                <w:rFonts w:ascii="Arial" w:hAnsi="Arial"/>
                <w:b w:val="0"/>
                <w:color w:val="000000"/>
                <w:sz w:val="20"/>
              </w:rPr>
              <w:t>Unresolved decision</w:t>
            </w:r>
          </w:p>
        </w:tc>
        <w:tc>
          <w:tcPr>
            <w:tcW w:type="dxa" w:w="7704"/>
            <w:vAlign w:val="center"/>
            <w:shd w:fill="FFFFFF"/>
            <w:tcBorders>
              <w:bottom w:val="single" w:sz="4" w:color="D6CEC3"/>
            </w:tcBorders>
          </w:tcPr>
          <w:p>
            <w:pPr>
              <w:spacing w:before="100" w:after="100" w:line="247" w:lineRule="auto"/>
            </w:pPr>
            <w:r>
              <w:rPr>
                <w:rFonts w:ascii="Arial" w:hAnsi="Arial"/>
                <w:b w:val="0"/>
                <w:color w:val="000000"/>
                <w:sz w:val="20"/>
              </w:rPr>
              <w:t>Address, lease terms, opening month, supplier specifications, personal affordability and legal/tax eligibility.</w:t>
            </w:r>
          </w:p>
        </w:tc>
      </w:tr>
    </w:tbl>
    <w:p/>
    <w:p>
      <w:pPr>
        <w:pStyle w:val="Heading2"/>
      </w:pPr>
      <w:r>
        <w:t>The coordinated files</w:t>
      </w:r>
    </w:p>
    <w:p>
      <w:r>
        <w:t>The Excel workbook is the live source of calculations. Change Assumptions D4 to 1 (Conservative), 2 (Expected) or 3 (Optimistic). The Word plan and PowerPoint are the issued 7 September 2026 snapshots; changing Excel does not update either file automatically. All three scenarios were generated by recalculating the same model.</w:t>
      </w:r>
    </w:p>
    <w:p>
      <w:r>
        <w:t>The forecast covers 36 trading months with January 2027 as a placeholder. The year is editable; an actual opening month should be incorporated with the corresponding academic calendar before financing. Financial statements exclude VAT where recoverable; opening cash funding includes gross VAT payments. Retail menu prices include VAT. Rand are nominal, not inflation-adjusted.</w:t>
      </w:r>
    </w:p>
    <w:p>
      <w:pPr>
        <w:pStyle w:val="Heading2"/>
      </w:pPr>
      <w:r>
        <w:t>Reading route</w:t>
      </w:r>
    </w:p>
    <w:p>
      <w:r>
        <w:t>Concept and demand: sections 3–4. Recipes, staffing and controls: sections 5–7. Startup, operating costs, forecasts and finance: sections 8–12. Tax and governance: section 13. Implementation and the evidence register: sections 14–18.</w:t>
      </w:r>
    </w:p>
    <w:p>
      <w:pPr>
        <w:pStyle w:val="Caption"/>
        <w:pageBreakBefore/>
      </w:pPr>
      <w:r>
        <w:t>03  /  COWBOY CAFE</w:t>
      </w:r>
    </w:p>
    <w:p>
      <w:pPr>
        <w:pStyle w:val="Heading1"/>
      </w:pPr>
      <w:r>
        <w:t>Concept, customer and place</w:t>
      </w:r>
    </w:p>
    <w:p>
      <w:r>
        <w:t>Cowboy Cafe’s proposition is a carefully made drink in an attractive everyday setting: urban and minimalist, with a subtle Western character. Concrete surfaces, warm timber and leather define the space. The approved cup pairs a softened indigo denim weave with a cream cowboy leaning against a coffee pot bearing the Cowboy Cafe name.</w:t>
      </w:r>
    </w:p>
    <w:p>
      <w:pPr>
        <w:pStyle w:val="Heading2"/>
      </w:pPr>
      <w:r>
        <w:t>The opening offer</w:t>
      </w:r>
    </w:p>
    <w:p>
      <w:r>
        <w:t>Serve espresso-based coffee, iced latte, one hot and one iced matcha, and a small daily pastry selection. Prepare standardised recipes and offer alternative milk at a separately priced surcharge. Pastries arrive ready to serve and can be warmed. Do not include a kitchen, sandwiches, delivery-platform turnover or alcohol in the opening investment case.</w:t>
      </w:r>
    </w:p>
    <w:p>
      <w:pPr>
        <w:pStyle w:val="Heading2"/>
      </w:pPr>
      <w:r>
        <w:t>Customer occasions</w:t>
      </w:r>
    </w:p>
    <w:p>
      <w:r>
        <w:t>Students and young working people are the core audience: a morning takeaway, a coffee between commitments and a place for a short meeting or laptop session. Gym and Pilates visitors are an adjacent audience, subject to the eventual location. Their conversion is not guaranteed and has not been built as a separate incremental revenue stream.</w:t>
      </w:r>
    </w:p>
    <w:tbl>
      <w:tblPr>
        <w:tblW w:type="auto" w:w="0"/>
        <w:jc w:val="center"/>
        <w:tblLayout w:type="fixed"/>
        <w:tblLook w:firstColumn="1" w:firstRow="1" w:lastColumn="0" w:lastRow="0" w:noHBand="0" w:noVBand="1" w:val="04A0"/>
      </w:tblPr>
      <w:tblGrid>
        <w:gridCol w:w="7632"/>
        <w:gridCol w:w="2448"/>
      </w:tblGrid>
      <w:tr>
        <w:trPr>
          <w:cantSplit/>
          <w:tblHeader/>
        </w:trPr>
        <w:tc>
          <w:tcPr>
            <w:tcW w:type="dxa" w:w="7632"/>
            <w:vAlign w:val="center"/>
            <w:shd w:fill="29251F"/>
            <w:tcBorders>
              <w:bottom w:val="single" w:sz="4" w:color="D6CEC3"/>
            </w:tcBorders>
          </w:tcPr>
          <w:p>
            <w:pPr>
              <w:spacing w:before="100" w:after="100" w:line="247" w:lineRule="auto"/>
            </w:pPr>
            <w:r>
              <w:rPr>
                <w:rFonts w:ascii="Arial" w:hAnsi="Arial"/>
                <w:b/>
                <w:color w:val="FFFFFF"/>
                <w:sz w:val="20"/>
              </w:rPr>
              <w:t>50 m² indicative allocation</w:t>
            </w:r>
          </w:p>
        </w:tc>
        <w:tc>
          <w:tcPr>
            <w:tcW w:type="dxa" w:w="2448"/>
            <w:vAlign w:val="center"/>
            <w:shd w:fill="29251F"/>
            <w:tcBorders>
              <w:bottom w:val="single" w:sz="4" w:color="D6CEC3"/>
            </w:tcBorders>
          </w:tcPr>
          <w:p>
            <w:pPr>
              <w:spacing w:before="100" w:after="100" w:line="247" w:lineRule="auto"/>
            </w:pPr>
            <w:r>
              <w:rPr>
                <w:rFonts w:ascii="Arial" w:hAnsi="Arial"/>
                <w:b/>
                <w:color w:val="FFFFFF"/>
                <w:sz w:val="20"/>
              </w:rPr>
              <w:t>Area</w:t>
            </w:r>
          </w:p>
        </w:tc>
      </w:tr>
      <w:tr>
        <w:trPr>
          <w:cantSplit/>
        </w:trPr>
        <w:tc>
          <w:tcPr>
            <w:tcW w:type="dxa" w:w="7632"/>
            <w:vAlign w:val="center"/>
            <w:shd w:fill="F3EFE8"/>
            <w:tcBorders>
              <w:bottom w:val="single" w:sz="4" w:color="D6CEC3"/>
            </w:tcBorders>
          </w:tcPr>
          <w:p>
            <w:pPr>
              <w:spacing w:before="100" w:after="100" w:line="247" w:lineRule="auto"/>
            </w:pPr>
            <w:r>
              <w:rPr>
                <w:rFonts w:ascii="Arial" w:hAnsi="Arial"/>
                <w:b w:val="0"/>
                <w:color w:val="000000"/>
                <w:sz w:val="20"/>
              </w:rPr>
              <w:t>Seating: approximately 14 places with small tables</w:t>
            </w:r>
          </w:p>
        </w:tc>
        <w:tc>
          <w:tcPr>
            <w:tcW w:type="dxa" w:w="2448"/>
            <w:vAlign w:val="center"/>
            <w:shd w:fill="F3EFE8"/>
            <w:tcBorders>
              <w:bottom w:val="single" w:sz="4" w:color="D6CEC3"/>
            </w:tcBorders>
          </w:tcPr>
          <w:p>
            <w:pPr>
              <w:spacing w:before="100" w:after="100" w:line="247" w:lineRule="auto"/>
            </w:pPr>
            <w:r>
              <w:rPr>
                <w:rFonts w:ascii="Arial" w:hAnsi="Arial"/>
                <w:b w:val="0"/>
                <w:color w:val="000000"/>
                <w:sz w:val="20"/>
              </w:rPr>
              <w:t>22 m²</w:t>
            </w:r>
          </w:p>
        </w:tc>
      </w:tr>
      <w:tr>
        <w:trPr>
          <w:cantSplit/>
        </w:trPr>
        <w:tc>
          <w:tcPr>
            <w:tcW w:type="dxa" w:w="7632"/>
            <w:vAlign w:val="center"/>
            <w:shd w:fill="FFFFFF"/>
            <w:tcBorders>
              <w:bottom w:val="single" w:sz="4" w:color="D6CEC3"/>
            </w:tcBorders>
          </w:tcPr>
          <w:p>
            <w:pPr>
              <w:spacing w:before="100" w:after="100" w:line="247" w:lineRule="auto"/>
            </w:pPr>
            <w:r>
              <w:rPr>
                <w:rFonts w:ascii="Arial" w:hAnsi="Arial"/>
                <w:b w:val="0"/>
                <w:color w:val="000000"/>
                <w:sz w:val="20"/>
              </w:rPr>
              <w:t>Counter, beverage preparation and pickup</w:t>
            </w:r>
          </w:p>
        </w:tc>
        <w:tc>
          <w:tcPr>
            <w:tcW w:type="dxa" w:w="2448"/>
            <w:vAlign w:val="center"/>
            <w:shd w:fill="FFFFFF"/>
            <w:tcBorders>
              <w:bottom w:val="single" w:sz="4" w:color="D6CEC3"/>
            </w:tcBorders>
          </w:tcPr>
          <w:p>
            <w:pPr>
              <w:spacing w:before="100" w:after="100" w:line="247" w:lineRule="auto"/>
            </w:pPr>
            <w:r>
              <w:rPr>
                <w:rFonts w:ascii="Arial" w:hAnsi="Arial"/>
                <w:b w:val="0"/>
                <w:color w:val="000000"/>
                <w:sz w:val="20"/>
              </w:rPr>
              <w:t>14 m²</w:t>
            </w:r>
          </w:p>
        </w:tc>
      </w:tr>
      <w:tr>
        <w:trPr>
          <w:cantSplit/>
        </w:trPr>
        <w:tc>
          <w:tcPr>
            <w:tcW w:type="dxa" w:w="7632"/>
            <w:vAlign w:val="center"/>
            <w:shd w:fill="F3EFE8"/>
            <w:tcBorders>
              <w:bottom w:val="single" w:sz="4" w:color="D6CEC3"/>
            </w:tcBorders>
          </w:tcPr>
          <w:p>
            <w:pPr>
              <w:spacing w:before="100" w:after="100" w:line="247" w:lineRule="auto"/>
            </w:pPr>
            <w:r>
              <w:rPr>
                <w:rFonts w:ascii="Arial" w:hAnsi="Arial"/>
                <w:b w:val="0"/>
                <w:color w:val="000000"/>
                <w:sz w:val="20"/>
              </w:rPr>
              <w:t>Storage, washing and staff support</w:t>
            </w:r>
          </w:p>
        </w:tc>
        <w:tc>
          <w:tcPr>
            <w:tcW w:type="dxa" w:w="2448"/>
            <w:vAlign w:val="center"/>
            <w:shd w:fill="F3EFE8"/>
            <w:tcBorders>
              <w:bottom w:val="single" w:sz="4" w:color="D6CEC3"/>
            </w:tcBorders>
          </w:tcPr>
          <w:p>
            <w:pPr>
              <w:spacing w:before="100" w:after="100" w:line="247" w:lineRule="auto"/>
            </w:pPr>
            <w:r>
              <w:rPr>
                <w:rFonts w:ascii="Arial" w:hAnsi="Arial"/>
                <w:b w:val="0"/>
                <w:color w:val="000000"/>
                <w:sz w:val="20"/>
              </w:rPr>
              <w:t>6 m²</w:t>
            </w:r>
          </w:p>
        </w:tc>
      </w:tr>
      <w:tr>
        <w:trPr>
          <w:cantSplit/>
        </w:trPr>
        <w:tc>
          <w:tcPr>
            <w:tcW w:type="dxa" w:w="7632"/>
            <w:vAlign w:val="center"/>
            <w:shd w:fill="FFFFFF"/>
            <w:tcBorders>
              <w:bottom w:val="single" w:sz="4" w:color="D6CEC3"/>
            </w:tcBorders>
          </w:tcPr>
          <w:p>
            <w:pPr>
              <w:spacing w:before="100" w:after="100" w:line="247" w:lineRule="auto"/>
            </w:pPr>
            <w:r>
              <w:rPr>
                <w:rFonts w:ascii="Arial" w:hAnsi="Arial"/>
                <w:b w:val="0"/>
                <w:color w:val="000000"/>
                <w:sz w:val="20"/>
              </w:rPr>
              <w:t>Circulation and entrance</w:t>
            </w:r>
          </w:p>
        </w:tc>
        <w:tc>
          <w:tcPr>
            <w:tcW w:type="dxa" w:w="2448"/>
            <w:vAlign w:val="center"/>
            <w:shd w:fill="FFFFFF"/>
            <w:tcBorders>
              <w:bottom w:val="single" w:sz="4" w:color="D6CEC3"/>
            </w:tcBorders>
          </w:tcPr>
          <w:p>
            <w:pPr>
              <w:spacing w:before="100" w:after="100" w:line="247" w:lineRule="auto"/>
            </w:pPr>
            <w:r>
              <w:rPr>
                <w:rFonts w:ascii="Arial" w:hAnsi="Arial"/>
                <w:b w:val="0"/>
                <w:color w:val="000000"/>
                <w:sz w:val="20"/>
              </w:rPr>
              <w:t>8 m²</w:t>
            </w:r>
          </w:p>
        </w:tc>
      </w:tr>
    </w:tbl>
    <w:p/>
    <w:p>
      <w:r>
        <w:t>The layout is a space budget, not a compliant architectural drawing. Confirm servicing, accessible circulation, refuse handling, handwashing, food-storage separation and landlord consent. Gym bathroom access must be in writing and accepted by the relevant environmental-health authority. If this is unavailable, redesign and recost before signing.</w:t>
      </w:r>
    </w:p>
    <w:p>
      <w:pPr>
        <w:pStyle w:val="Caption"/>
      </w:pPr>
      <w:r>
        <w:t>Property and food-premises evidence: [S5], [S15]. Concept visuals are generated for this proposal and do not depict a secured premises.</w:t>
      </w:r>
    </w:p>
    <w:p>
      <w:pPr>
        <w:pStyle w:val="Caption"/>
        <w:pageBreakBefore/>
      </w:pPr>
      <w:r>
        <w:t>04  /  COWBOY CAFE</w:t>
      </w:r>
    </w:p>
    <w:p>
      <w:pPr>
        <w:pStyle w:val="Heading1"/>
      </w:pPr>
      <w:r>
        <w:t>Market evidence and demand validation</w:t>
      </w:r>
    </w:p>
    <w:p>
      <w:r>
        <w:t>Plato and Hygge Hygge are founder-selected comparables for positioning. Plato’s published June 2026 menu supports a small cappuccino at R39 and a flat white at R42. Cowboy’s proposed R42 regular cappuccino is a modest premium. Hygge’s official menu was located, but no current price claim is used because its scanned document was not reliably extracted. Public menus establish price context; they do not establish competitor turnover or profit.</w:t>
      </w:r>
    </w:p>
    <w:p>
      <w:pPr>
        <w:pStyle w:val="Heading2"/>
      </w:pPr>
      <w:r>
        <w:t>What the site must demonstrate</w:t>
      </w:r>
    </w:p>
    <w:p>
      <w:r>
        <w:t>The expected case assumes 130 mature transactions daily, each containing one beverage. At an 80% takeaway share, this implies approximately 104 takeaway and 26 sit-down transactions. Fourteen seats are not the binding capacity at that mix. Service peaks, street visibility and capture of passing traffic matter more than average seating utilisation.</w:t>
      </w:r>
    </w:p>
    <w:p>
      <w:r>
        <w:t>At an illustrative 10% conversion, 130 orders require 1,300 qualified daily passers or visits; at 5%, 2,600. These are arithmetic hurdles, not measured footfall. Count the actual frontage, avoid double-counting gym visitors, and separate customers entering for the gym from people with access and time to buy coffee.</w:t>
      </w:r>
    </w:p>
    <w:tbl>
      <w:tblPr>
        <w:tblW w:type="auto" w:w="0"/>
        <w:jc w:val="center"/>
        <w:tblLayout w:type="fixed"/>
        <w:tblLook w:firstColumn="1" w:firstRow="1" w:lastColumn="0" w:lastRow="0" w:noHBand="0" w:noVBand="1" w:val="04A0"/>
      </w:tblPr>
      <w:tblGrid>
        <w:gridCol w:w="3960"/>
        <w:gridCol w:w="6120"/>
      </w:tblGrid>
      <w:tr>
        <w:trPr>
          <w:cantSplit/>
          <w:tblHeader/>
        </w:trPr>
        <w:tc>
          <w:tcPr>
            <w:tcW w:type="dxa" w:w="3960"/>
            <w:vAlign w:val="center"/>
            <w:shd w:fill="29251F"/>
            <w:tcBorders>
              <w:bottom w:val="single" w:sz="4" w:color="D6CEC3"/>
            </w:tcBorders>
          </w:tcPr>
          <w:p>
            <w:pPr>
              <w:spacing w:before="100" w:after="100" w:line="247" w:lineRule="auto"/>
            </w:pPr>
            <w:r>
              <w:rPr>
                <w:rFonts w:ascii="Arial" w:hAnsi="Arial"/>
                <w:b/>
                <w:color w:val="FFFFFF"/>
                <w:sz w:val="20"/>
              </w:rPr>
              <w:t>Validation activity</w:t>
            </w:r>
          </w:p>
        </w:tc>
        <w:tc>
          <w:tcPr>
            <w:tcW w:type="dxa" w:w="6120"/>
            <w:vAlign w:val="center"/>
            <w:shd w:fill="29251F"/>
            <w:tcBorders>
              <w:bottom w:val="single" w:sz="4" w:color="D6CEC3"/>
            </w:tcBorders>
          </w:tcPr>
          <w:p>
            <w:pPr>
              <w:spacing w:before="100" w:after="100" w:line="247" w:lineRule="auto"/>
            </w:pPr>
            <w:r>
              <w:rPr>
                <w:rFonts w:ascii="Arial" w:hAnsi="Arial"/>
                <w:b/>
                <w:color w:val="FFFFFF"/>
                <w:sz w:val="20"/>
              </w:rPr>
              <w:t>Decision evidence</w:t>
            </w:r>
          </w:p>
        </w:tc>
      </w:tr>
      <w:tr>
        <w:trPr>
          <w:cantSplit/>
        </w:trPr>
        <w:tc>
          <w:tcPr>
            <w:tcW w:type="dxa" w:w="3960"/>
            <w:vAlign w:val="center"/>
            <w:shd w:fill="F3EFE8"/>
            <w:tcBorders>
              <w:bottom w:val="single" w:sz="4" w:color="D6CEC3"/>
            </w:tcBorders>
          </w:tcPr>
          <w:p>
            <w:pPr>
              <w:spacing w:before="100" w:after="100" w:line="247" w:lineRule="auto"/>
            </w:pPr>
            <w:r>
              <w:rPr>
                <w:rFonts w:ascii="Arial" w:hAnsi="Arial"/>
                <w:b w:val="0"/>
                <w:color w:val="000000"/>
                <w:sz w:val="20"/>
              </w:rPr>
              <w:t>Seven-day count, in 15-minute blocks</w:t>
            </w:r>
          </w:p>
        </w:tc>
        <w:tc>
          <w:tcPr>
            <w:tcW w:type="dxa" w:w="6120"/>
            <w:vAlign w:val="center"/>
            <w:shd w:fill="F3EFE8"/>
            <w:tcBorders>
              <w:bottom w:val="single" w:sz="4" w:color="D6CEC3"/>
            </w:tcBorders>
          </w:tcPr>
          <w:p>
            <w:pPr>
              <w:spacing w:before="100" w:after="100" w:line="247" w:lineRule="auto"/>
            </w:pPr>
            <w:r>
              <w:rPr>
                <w:rFonts w:ascii="Arial" w:hAnsi="Arial"/>
                <w:b w:val="0"/>
                <w:color w:val="000000"/>
                <w:sz w:val="20"/>
              </w:rPr>
              <w:t>Weekday/weekend profile; morning and afternoon peaks; weather and academic-term context.</w:t>
            </w:r>
          </w:p>
        </w:tc>
      </w:tr>
      <w:tr>
        <w:trPr>
          <w:cantSplit/>
        </w:trPr>
        <w:tc>
          <w:tcPr>
            <w:tcW w:type="dxa" w:w="3960"/>
            <w:vAlign w:val="center"/>
            <w:shd w:fill="FFFFFF"/>
            <w:tcBorders>
              <w:bottom w:val="single" w:sz="4" w:color="D6CEC3"/>
            </w:tcBorders>
          </w:tcPr>
          <w:p>
            <w:pPr>
              <w:spacing w:before="100" w:after="100" w:line="247" w:lineRule="auto"/>
            </w:pPr>
            <w:r>
              <w:rPr>
                <w:rFonts w:ascii="Arial" w:hAnsi="Arial"/>
                <w:b w:val="0"/>
                <w:color w:val="000000"/>
                <w:sz w:val="20"/>
              </w:rPr>
              <w:t>Paid pop-up or nearby permitted activation</w:t>
            </w:r>
          </w:p>
        </w:tc>
        <w:tc>
          <w:tcPr>
            <w:tcW w:type="dxa" w:w="6120"/>
            <w:vAlign w:val="center"/>
            <w:shd w:fill="FFFFFF"/>
            <w:tcBorders>
              <w:bottom w:val="single" w:sz="4" w:color="D6CEC3"/>
            </w:tcBorders>
          </w:tcPr>
          <w:p>
            <w:pPr>
              <w:spacing w:before="100" w:after="100" w:line="247" w:lineRule="auto"/>
            </w:pPr>
            <w:r>
              <w:rPr>
                <w:rFonts w:ascii="Arial" w:hAnsi="Arial"/>
                <w:b w:val="0"/>
                <w:color w:val="000000"/>
                <w:sz w:val="20"/>
              </w:rPr>
              <w:t>Actual price acceptance, repeat intent, pastry attachment and service speed.</w:t>
            </w:r>
          </w:p>
        </w:tc>
      </w:tr>
      <w:tr>
        <w:trPr>
          <w:cantSplit/>
        </w:trPr>
        <w:tc>
          <w:tcPr>
            <w:tcW w:type="dxa" w:w="3960"/>
            <w:vAlign w:val="center"/>
            <w:shd w:fill="F3EFE8"/>
            <w:tcBorders>
              <w:bottom w:val="single" w:sz="4" w:color="D6CEC3"/>
            </w:tcBorders>
          </w:tcPr>
          <w:p>
            <w:pPr>
              <w:spacing w:before="100" w:after="100" w:line="247" w:lineRule="auto"/>
            </w:pPr>
            <w:r>
              <w:rPr>
                <w:rFonts w:ascii="Arial" w:hAnsi="Arial"/>
                <w:b w:val="0"/>
                <w:color w:val="000000"/>
                <w:sz w:val="20"/>
              </w:rPr>
              <w:t>20–30 short customer interviews</w:t>
            </w:r>
          </w:p>
        </w:tc>
        <w:tc>
          <w:tcPr>
            <w:tcW w:type="dxa" w:w="6120"/>
            <w:vAlign w:val="center"/>
            <w:shd w:fill="F3EFE8"/>
            <w:tcBorders>
              <w:bottom w:val="single" w:sz="4" w:color="D6CEC3"/>
            </w:tcBorders>
          </w:tcPr>
          <w:p>
            <w:pPr>
              <w:spacing w:before="100" w:after="100" w:line="247" w:lineRule="auto"/>
            </w:pPr>
            <w:r>
              <w:rPr>
                <w:rFonts w:ascii="Arial" w:hAnsi="Arial"/>
                <w:b w:val="0"/>
                <w:color w:val="000000"/>
                <w:sz w:val="20"/>
              </w:rPr>
              <w:t>Usual coffee spend, frequency, preferred milk, dwell time and reasons to switch.</w:t>
            </w:r>
          </w:p>
        </w:tc>
      </w:tr>
      <w:tr>
        <w:trPr>
          <w:cantSplit/>
        </w:trPr>
        <w:tc>
          <w:tcPr>
            <w:tcW w:type="dxa" w:w="3960"/>
            <w:vAlign w:val="center"/>
            <w:shd w:fill="FFFFFF"/>
            <w:tcBorders>
              <w:bottom w:val="single" w:sz="4" w:color="D6CEC3"/>
            </w:tcBorders>
          </w:tcPr>
          <w:p>
            <w:pPr>
              <w:spacing w:before="100" w:after="100" w:line="247" w:lineRule="auto"/>
            </w:pPr>
            <w:r>
              <w:rPr>
                <w:rFonts w:ascii="Arial" w:hAnsi="Arial"/>
                <w:b w:val="0"/>
                <w:color w:val="000000"/>
                <w:sz w:val="20"/>
              </w:rPr>
              <w:t>Competitor visits and landlord diligence</w:t>
            </w:r>
          </w:p>
        </w:tc>
        <w:tc>
          <w:tcPr>
            <w:tcW w:type="dxa" w:w="6120"/>
            <w:vAlign w:val="center"/>
            <w:shd w:fill="FFFFFF"/>
            <w:tcBorders>
              <w:bottom w:val="single" w:sz="4" w:color="D6CEC3"/>
            </w:tcBorders>
          </w:tcPr>
          <w:p>
            <w:pPr>
              <w:spacing w:before="100" w:after="100" w:line="247" w:lineRule="auto"/>
            </w:pPr>
            <w:r>
              <w:rPr>
                <w:rFonts w:ascii="Arial" w:hAnsi="Arial"/>
                <w:b w:val="0"/>
                <w:color w:val="000000"/>
                <w:sz w:val="20"/>
              </w:rPr>
              <w:t>Current prices, queues, opening hours, visibility, restrictions and food-use suitability.</w:t>
            </w:r>
          </w:p>
        </w:tc>
      </w:tr>
    </w:tbl>
    <w:p/>
    <w:p>
      <w:r>
        <w:t>Use conservative, expected and optimistic volume cases of 80, 130 and 180. Seasonality is a hypothesis, with weaker January, June/July and December exposure. Repeat the assessment if the opening date, entrance or nearby tenant mix changes. A launch promotion should not be mistaken for durable demand.</w:t>
      </w:r>
    </w:p>
    <w:p>
      <w:pPr>
        <w:pStyle w:val="Caption"/>
      </w:pPr>
      <w:r>
        <w:t>Comparable menu evidence: [S1] and [S2]. No private competitor financial statements or verified café sales data were available.</w:t>
      </w:r>
    </w:p>
    <w:p>
      <w:pPr>
        <w:pStyle w:val="Caption"/>
        <w:pageBreakBefore/>
      </w:pPr>
      <w:r>
        <w:t>05  /  COWBOY CAFE</w:t>
      </w:r>
    </w:p>
    <w:p>
      <w:pPr>
        <w:pStyle w:val="Heading1"/>
      </w:pPr>
      <w:r>
        <w:t>Menu pricing and gross profit</w:t>
      </w:r>
    </w:p>
    <w:tbl>
      <w:tblPr>
        <w:tblW w:type="auto" w:w="0"/>
        <w:jc w:val="center"/>
        <w:tblLayout w:type="fixed"/>
        <w:tblLook w:firstColumn="1" w:firstRow="1" w:lastColumn="0" w:lastRow="0" w:noHBand="0" w:noVBand="1" w:val="04A0"/>
      </w:tblPr>
      <w:tblGrid>
        <w:gridCol w:w="5904"/>
        <w:gridCol w:w="2304"/>
        <w:gridCol w:w="1872"/>
      </w:tblGrid>
      <w:tr>
        <w:trPr>
          <w:cantSplit/>
          <w:tblHeader/>
        </w:trPr>
        <w:tc>
          <w:tcPr>
            <w:tcW w:type="dxa" w:w="5904"/>
            <w:vAlign w:val="center"/>
            <w:shd w:fill="29251F"/>
            <w:tcBorders>
              <w:bottom w:val="single" w:sz="4" w:color="D6CEC3"/>
            </w:tcBorders>
          </w:tcPr>
          <w:p>
            <w:pPr>
              <w:spacing w:before="100" w:after="100" w:line="247" w:lineRule="auto"/>
            </w:pPr>
            <w:r>
              <w:rPr>
                <w:rFonts w:ascii="Arial" w:hAnsi="Arial"/>
                <w:b/>
                <w:color w:val="FFFFFF"/>
                <w:sz w:val="20"/>
              </w:rPr>
              <w:t>Item</w:t>
            </w:r>
          </w:p>
        </w:tc>
        <w:tc>
          <w:tcPr>
            <w:tcW w:type="dxa" w:w="2304"/>
            <w:vAlign w:val="center"/>
            <w:shd w:fill="29251F"/>
            <w:tcBorders>
              <w:bottom w:val="single" w:sz="4" w:color="D6CEC3"/>
            </w:tcBorders>
          </w:tcPr>
          <w:p>
            <w:pPr>
              <w:spacing w:before="100" w:after="100" w:line="247" w:lineRule="auto"/>
            </w:pPr>
            <w:r>
              <w:rPr>
                <w:rFonts w:ascii="Arial" w:hAnsi="Arial"/>
                <w:b/>
                <w:color w:val="FFFFFF"/>
                <w:sz w:val="20"/>
              </w:rPr>
              <w:t>Price incl. VAT</w:t>
            </w:r>
          </w:p>
        </w:tc>
        <w:tc>
          <w:tcPr>
            <w:tcW w:type="dxa" w:w="1872"/>
            <w:vAlign w:val="center"/>
            <w:shd w:fill="29251F"/>
            <w:tcBorders>
              <w:bottom w:val="single" w:sz="4" w:color="D6CEC3"/>
            </w:tcBorders>
          </w:tcPr>
          <w:p>
            <w:pPr>
              <w:spacing w:before="100" w:after="100" w:line="247" w:lineRule="auto"/>
            </w:pPr>
            <w:r>
              <w:rPr>
                <w:rFonts w:ascii="Arial" w:hAnsi="Arial"/>
                <w:b/>
                <w:color w:val="FFFFFF"/>
                <w:sz w:val="20"/>
              </w:rPr>
              <w:t>Drink mix</w:t>
            </w:r>
          </w:p>
        </w:tc>
      </w:tr>
      <w:tr>
        <w:trPr>
          <w:cantSplit/>
        </w:trPr>
        <w:tc>
          <w:tcPr>
            <w:tcW w:type="dxa" w:w="5904"/>
            <w:vAlign w:val="center"/>
            <w:shd w:fill="F3EFE8"/>
            <w:tcBorders>
              <w:bottom w:val="single" w:sz="4" w:color="D6CEC3"/>
            </w:tcBorders>
          </w:tcPr>
          <w:p>
            <w:pPr>
              <w:spacing w:before="100" w:after="100" w:line="247" w:lineRule="auto"/>
            </w:pPr>
            <w:r>
              <w:rPr>
                <w:rFonts w:ascii="Arial" w:hAnsi="Arial"/>
                <w:b w:val="0"/>
                <w:color w:val="000000"/>
                <w:sz w:val="20"/>
              </w:rPr>
              <w:t>Espresso</w:t>
            </w:r>
          </w:p>
        </w:tc>
        <w:tc>
          <w:tcPr>
            <w:tcW w:type="dxa" w:w="2304"/>
            <w:vAlign w:val="center"/>
            <w:shd w:fill="F3EFE8"/>
            <w:tcBorders>
              <w:bottom w:val="single" w:sz="4" w:color="D6CEC3"/>
            </w:tcBorders>
          </w:tcPr>
          <w:p>
            <w:pPr>
              <w:spacing w:before="100" w:after="100" w:line="247" w:lineRule="auto"/>
            </w:pPr>
            <w:r>
              <w:rPr>
                <w:rFonts w:ascii="Arial" w:hAnsi="Arial"/>
                <w:b w:val="0"/>
                <w:color w:val="000000"/>
                <w:sz w:val="20"/>
              </w:rPr>
              <w:t>R28</w:t>
            </w:r>
          </w:p>
        </w:tc>
        <w:tc>
          <w:tcPr>
            <w:tcW w:type="dxa" w:w="1872"/>
            <w:vAlign w:val="center"/>
            <w:shd w:fill="F3EFE8"/>
            <w:tcBorders>
              <w:bottom w:val="single" w:sz="4" w:color="D6CEC3"/>
            </w:tcBorders>
          </w:tcPr>
          <w:p>
            <w:pPr>
              <w:spacing w:before="100" w:after="100" w:line="247" w:lineRule="auto"/>
            </w:pPr>
            <w:r>
              <w:rPr>
                <w:rFonts w:ascii="Arial" w:hAnsi="Arial"/>
                <w:b w:val="0"/>
                <w:color w:val="000000"/>
                <w:sz w:val="20"/>
              </w:rPr>
              <w:t>6%</w:t>
            </w:r>
          </w:p>
        </w:tc>
      </w:tr>
      <w:tr>
        <w:trPr>
          <w:cantSplit/>
        </w:trPr>
        <w:tc>
          <w:tcPr>
            <w:tcW w:type="dxa" w:w="5904"/>
            <w:vAlign w:val="center"/>
            <w:shd w:fill="FFFFFF"/>
            <w:tcBorders>
              <w:bottom w:val="single" w:sz="4" w:color="D6CEC3"/>
            </w:tcBorders>
          </w:tcPr>
          <w:p>
            <w:pPr>
              <w:spacing w:before="100" w:after="100" w:line="247" w:lineRule="auto"/>
            </w:pPr>
            <w:r>
              <w:rPr>
                <w:rFonts w:ascii="Arial" w:hAnsi="Arial"/>
                <w:b w:val="0"/>
                <w:color w:val="000000"/>
                <w:sz w:val="20"/>
              </w:rPr>
              <w:t>Americano</w:t>
            </w:r>
          </w:p>
        </w:tc>
        <w:tc>
          <w:tcPr>
            <w:tcW w:type="dxa" w:w="2304"/>
            <w:vAlign w:val="center"/>
            <w:shd w:fill="FFFFFF"/>
            <w:tcBorders>
              <w:bottom w:val="single" w:sz="4" w:color="D6CEC3"/>
            </w:tcBorders>
          </w:tcPr>
          <w:p>
            <w:pPr>
              <w:spacing w:before="100" w:after="100" w:line="247" w:lineRule="auto"/>
            </w:pPr>
            <w:r>
              <w:rPr>
                <w:rFonts w:ascii="Arial" w:hAnsi="Arial"/>
                <w:b w:val="0"/>
                <w:color w:val="000000"/>
                <w:sz w:val="20"/>
              </w:rPr>
              <w:t>R35</w:t>
            </w:r>
          </w:p>
        </w:tc>
        <w:tc>
          <w:tcPr>
            <w:tcW w:type="dxa" w:w="1872"/>
            <w:vAlign w:val="center"/>
            <w:shd w:fill="FFFFFF"/>
            <w:tcBorders>
              <w:bottom w:val="single" w:sz="4" w:color="D6CEC3"/>
            </w:tcBorders>
          </w:tcPr>
          <w:p>
            <w:pPr>
              <w:spacing w:before="100" w:after="100" w:line="247" w:lineRule="auto"/>
            </w:pPr>
            <w:r>
              <w:rPr>
                <w:rFonts w:ascii="Arial" w:hAnsi="Arial"/>
                <w:b w:val="0"/>
                <w:color w:val="000000"/>
                <w:sz w:val="20"/>
              </w:rPr>
              <w:t>16%</w:t>
            </w:r>
          </w:p>
        </w:tc>
      </w:tr>
      <w:tr>
        <w:trPr>
          <w:cantSplit/>
        </w:trPr>
        <w:tc>
          <w:tcPr>
            <w:tcW w:type="dxa" w:w="5904"/>
            <w:vAlign w:val="center"/>
            <w:shd w:fill="F3EFE8"/>
            <w:tcBorders>
              <w:bottom w:val="single" w:sz="4" w:color="D6CEC3"/>
            </w:tcBorders>
          </w:tcPr>
          <w:p>
            <w:pPr>
              <w:spacing w:before="100" w:after="100" w:line="247" w:lineRule="auto"/>
            </w:pPr>
            <w:r>
              <w:rPr>
                <w:rFonts w:ascii="Arial" w:hAnsi="Arial"/>
                <w:b w:val="0"/>
                <w:color w:val="000000"/>
                <w:sz w:val="20"/>
              </w:rPr>
              <w:t>Cappuccino / latte regular</w:t>
            </w:r>
          </w:p>
        </w:tc>
        <w:tc>
          <w:tcPr>
            <w:tcW w:type="dxa" w:w="2304"/>
            <w:vAlign w:val="center"/>
            <w:shd w:fill="F3EFE8"/>
            <w:tcBorders>
              <w:bottom w:val="single" w:sz="4" w:color="D6CEC3"/>
            </w:tcBorders>
          </w:tcPr>
          <w:p>
            <w:pPr>
              <w:spacing w:before="100" w:after="100" w:line="247" w:lineRule="auto"/>
            </w:pPr>
            <w:r>
              <w:rPr>
                <w:rFonts w:ascii="Arial" w:hAnsi="Arial"/>
                <w:b w:val="0"/>
                <w:color w:val="000000"/>
                <w:sz w:val="20"/>
              </w:rPr>
              <w:t>R42</w:t>
            </w:r>
          </w:p>
        </w:tc>
        <w:tc>
          <w:tcPr>
            <w:tcW w:type="dxa" w:w="1872"/>
            <w:vAlign w:val="center"/>
            <w:shd w:fill="F3EFE8"/>
            <w:tcBorders>
              <w:bottom w:val="single" w:sz="4" w:color="D6CEC3"/>
            </w:tcBorders>
          </w:tcPr>
          <w:p>
            <w:pPr>
              <w:spacing w:before="100" w:after="100" w:line="247" w:lineRule="auto"/>
            </w:pPr>
            <w:r>
              <w:rPr>
                <w:rFonts w:ascii="Arial" w:hAnsi="Arial"/>
                <w:b w:val="0"/>
                <w:color w:val="000000"/>
                <w:sz w:val="20"/>
              </w:rPr>
              <w:t>43%</w:t>
            </w:r>
          </w:p>
        </w:tc>
      </w:tr>
      <w:tr>
        <w:trPr>
          <w:cantSplit/>
        </w:trPr>
        <w:tc>
          <w:tcPr>
            <w:tcW w:type="dxa" w:w="5904"/>
            <w:vAlign w:val="center"/>
            <w:shd w:fill="FFFFFF"/>
            <w:tcBorders>
              <w:bottom w:val="single" w:sz="4" w:color="D6CEC3"/>
            </w:tcBorders>
          </w:tcPr>
          <w:p>
            <w:pPr>
              <w:spacing w:before="100" w:after="100" w:line="247" w:lineRule="auto"/>
            </w:pPr>
            <w:r>
              <w:rPr>
                <w:rFonts w:ascii="Arial" w:hAnsi="Arial"/>
                <w:b w:val="0"/>
                <w:color w:val="000000"/>
                <w:sz w:val="20"/>
              </w:rPr>
              <w:t>Flat white</w:t>
            </w:r>
          </w:p>
        </w:tc>
        <w:tc>
          <w:tcPr>
            <w:tcW w:type="dxa" w:w="2304"/>
            <w:vAlign w:val="center"/>
            <w:shd w:fill="FFFFFF"/>
            <w:tcBorders>
              <w:bottom w:val="single" w:sz="4" w:color="D6CEC3"/>
            </w:tcBorders>
          </w:tcPr>
          <w:p>
            <w:pPr>
              <w:spacing w:before="100" w:after="100" w:line="247" w:lineRule="auto"/>
            </w:pPr>
            <w:r>
              <w:rPr>
                <w:rFonts w:ascii="Arial" w:hAnsi="Arial"/>
                <w:b w:val="0"/>
                <w:color w:val="000000"/>
                <w:sz w:val="20"/>
              </w:rPr>
              <w:t>R44</w:t>
            </w:r>
          </w:p>
        </w:tc>
        <w:tc>
          <w:tcPr>
            <w:tcW w:type="dxa" w:w="1872"/>
            <w:vAlign w:val="center"/>
            <w:shd w:fill="FFFFFF"/>
            <w:tcBorders>
              <w:bottom w:val="single" w:sz="4" w:color="D6CEC3"/>
            </w:tcBorders>
          </w:tcPr>
          <w:p>
            <w:pPr>
              <w:spacing w:before="100" w:after="100" w:line="247" w:lineRule="auto"/>
            </w:pPr>
            <w:r>
              <w:rPr>
                <w:rFonts w:ascii="Arial" w:hAnsi="Arial"/>
                <w:b w:val="0"/>
                <w:color w:val="000000"/>
                <w:sz w:val="20"/>
              </w:rPr>
              <w:t>13%</w:t>
            </w:r>
          </w:p>
        </w:tc>
      </w:tr>
      <w:tr>
        <w:trPr>
          <w:cantSplit/>
        </w:trPr>
        <w:tc>
          <w:tcPr>
            <w:tcW w:type="dxa" w:w="5904"/>
            <w:vAlign w:val="center"/>
            <w:shd w:fill="F3EFE8"/>
            <w:tcBorders>
              <w:bottom w:val="single" w:sz="4" w:color="D6CEC3"/>
            </w:tcBorders>
          </w:tcPr>
          <w:p>
            <w:pPr>
              <w:spacing w:before="100" w:after="100" w:line="247" w:lineRule="auto"/>
            </w:pPr>
            <w:r>
              <w:rPr>
                <w:rFonts w:ascii="Arial" w:hAnsi="Arial"/>
                <w:b w:val="0"/>
                <w:color w:val="000000"/>
                <w:sz w:val="20"/>
              </w:rPr>
              <w:t>Iced latte</w:t>
            </w:r>
          </w:p>
        </w:tc>
        <w:tc>
          <w:tcPr>
            <w:tcW w:type="dxa" w:w="2304"/>
            <w:vAlign w:val="center"/>
            <w:shd w:fill="F3EFE8"/>
            <w:tcBorders>
              <w:bottom w:val="single" w:sz="4" w:color="D6CEC3"/>
            </w:tcBorders>
          </w:tcPr>
          <w:p>
            <w:pPr>
              <w:spacing w:before="100" w:after="100" w:line="247" w:lineRule="auto"/>
            </w:pPr>
            <w:r>
              <w:rPr>
                <w:rFonts w:ascii="Arial" w:hAnsi="Arial"/>
                <w:b w:val="0"/>
                <w:color w:val="000000"/>
                <w:sz w:val="20"/>
              </w:rPr>
              <w:t>R50</w:t>
            </w:r>
          </w:p>
        </w:tc>
        <w:tc>
          <w:tcPr>
            <w:tcW w:type="dxa" w:w="1872"/>
            <w:vAlign w:val="center"/>
            <w:shd w:fill="F3EFE8"/>
            <w:tcBorders>
              <w:bottom w:val="single" w:sz="4" w:color="D6CEC3"/>
            </w:tcBorders>
          </w:tcPr>
          <w:p>
            <w:pPr>
              <w:spacing w:before="100" w:after="100" w:line="247" w:lineRule="auto"/>
            </w:pPr>
            <w:r>
              <w:rPr>
                <w:rFonts w:ascii="Arial" w:hAnsi="Arial"/>
                <w:b w:val="0"/>
                <w:color w:val="000000"/>
                <w:sz w:val="20"/>
              </w:rPr>
              <w:t>12%</w:t>
            </w:r>
          </w:p>
        </w:tc>
      </w:tr>
      <w:tr>
        <w:trPr>
          <w:cantSplit/>
        </w:trPr>
        <w:tc>
          <w:tcPr>
            <w:tcW w:type="dxa" w:w="5904"/>
            <w:vAlign w:val="center"/>
            <w:shd w:fill="FFFFFF"/>
            <w:tcBorders>
              <w:bottom w:val="single" w:sz="4" w:color="D6CEC3"/>
            </w:tcBorders>
          </w:tcPr>
          <w:p>
            <w:pPr>
              <w:spacing w:before="100" w:after="100" w:line="247" w:lineRule="auto"/>
            </w:pPr>
            <w:r>
              <w:rPr>
                <w:rFonts w:ascii="Arial" w:hAnsi="Arial"/>
                <w:b w:val="0"/>
                <w:color w:val="000000"/>
                <w:sz w:val="20"/>
              </w:rPr>
              <w:t>Matcha latte</w:t>
            </w:r>
          </w:p>
        </w:tc>
        <w:tc>
          <w:tcPr>
            <w:tcW w:type="dxa" w:w="2304"/>
            <w:vAlign w:val="center"/>
            <w:shd w:fill="FFFFFF"/>
            <w:tcBorders>
              <w:bottom w:val="single" w:sz="4" w:color="D6CEC3"/>
            </w:tcBorders>
          </w:tcPr>
          <w:p>
            <w:pPr>
              <w:spacing w:before="100" w:after="100" w:line="247" w:lineRule="auto"/>
            </w:pPr>
            <w:r>
              <w:rPr>
                <w:rFonts w:ascii="Arial" w:hAnsi="Arial"/>
                <w:b w:val="0"/>
                <w:color w:val="000000"/>
                <w:sz w:val="20"/>
              </w:rPr>
              <w:t>R55</w:t>
            </w:r>
          </w:p>
        </w:tc>
        <w:tc>
          <w:tcPr>
            <w:tcW w:type="dxa" w:w="1872"/>
            <w:vAlign w:val="center"/>
            <w:shd w:fill="FFFFFF"/>
            <w:tcBorders>
              <w:bottom w:val="single" w:sz="4" w:color="D6CEC3"/>
            </w:tcBorders>
          </w:tcPr>
          <w:p>
            <w:pPr>
              <w:spacing w:before="100" w:after="100" w:line="247" w:lineRule="auto"/>
            </w:pPr>
            <w:r>
              <w:rPr>
                <w:rFonts w:ascii="Arial" w:hAnsi="Arial"/>
                <w:b w:val="0"/>
                <w:color w:val="000000"/>
                <w:sz w:val="20"/>
              </w:rPr>
              <w:t>6%</w:t>
            </w:r>
          </w:p>
        </w:tc>
      </w:tr>
      <w:tr>
        <w:trPr>
          <w:cantSplit/>
        </w:trPr>
        <w:tc>
          <w:tcPr>
            <w:tcW w:type="dxa" w:w="5904"/>
            <w:vAlign w:val="center"/>
            <w:shd w:fill="F3EFE8"/>
            <w:tcBorders>
              <w:bottom w:val="single" w:sz="4" w:color="D6CEC3"/>
            </w:tcBorders>
          </w:tcPr>
          <w:p>
            <w:pPr>
              <w:spacing w:before="100" w:after="100" w:line="247" w:lineRule="auto"/>
            </w:pPr>
            <w:r>
              <w:rPr>
                <w:rFonts w:ascii="Arial" w:hAnsi="Arial"/>
                <w:b w:val="0"/>
                <w:color w:val="000000"/>
                <w:sz w:val="20"/>
              </w:rPr>
              <w:t>Iced matcha</w:t>
            </w:r>
          </w:p>
        </w:tc>
        <w:tc>
          <w:tcPr>
            <w:tcW w:type="dxa" w:w="2304"/>
            <w:vAlign w:val="center"/>
            <w:shd w:fill="F3EFE8"/>
            <w:tcBorders>
              <w:bottom w:val="single" w:sz="4" w:color="D6CEC3"/>
            </w:tcBorders>
          </w:tcPr>
          <w:p>
            <w:pPr>
              <w:spacing w:before="100" w:after="100" w:line="247" w:lineRule="auto"/>
            </w:pPr>
            <w:r>
              <w:rPr>
                <w:rFonts w:ascii="Arial" w:hAnsi="Arial"/>
                <w:b w:val="0"/>
                <w:color w:val="000000"/>
                <w:sz w:val="20"/>
              </w:rPr>
              <w:t>R60</w:t>
            </w:r>
          </w:p>
        </w:tc>
        <w:tc>
          <w:tcPr>
            <w:tcW w:type="dxa" w:w="1872"/>
            <w:vAlign w:val="center"/>
            <w:shd w:fill="F3EFE8"/>
            <w:tcBorders>
              <w:bottom w:val="single" w:sz="4" w:color="D6CEC3"/>
            </w:tcBorders>
          </w:tcPr>
          <w:p>
            <w:pPr>
              <w:spacing w:before="100" w:after="100" w:line="247" w:lineRule="auto"/>
            </w:pPr>
            <w:r>
              <w:rPr>
                <w:rFonts w:ascii="Arial" w:hAnsi="Arial"/>
                <w:b w:val="0"/>
                <w:color w:val="000000"/>
                <w:sz w:val="20"/>
              </w:rPr>
              <w:t>4%</w:t>
            </w:r>
          </w:p>
        </w:tc>
      </w:tr>
    </w:tbl>
    <w:p/>
    <w:p>
      <w:r>
        <w:t>Alternative milk carries a R10 surcharge, with 15% uptake on eligible drinks. Recipes assume 18 g of beans for coffee drinks and 2 g of matcha. Milk volumes differ by recipe. The workbook calculates ingredients and packaging before adding 5% beverage waste and 12% pastry waste; it does not insert a generic industry GP percentage.</w:t>
      </w:r>
    </w:p>
    <w:tbl>
      <w:tblPr>
        <w:tblW w:type="auto" w:w="0"/>
        <w:jc w:val="center"/>
        <w:tblLayout w:type="fixed"/>
        <w:tblLook w:firstColumn="1" w:firstRow="1" w:lastColumn="0" w:lastRow="0" w:noHBand="0" w:noVBand="1" w:val="04A0"/>
      </w:tblPr>
      <w:tblGrid>
        <w:gridCol w:w="7704"/>
        <w:gridCol w:w="2376"/>
      </w:tblGrid>
      <w:tr>
        <w:trPr>
          <w:cantSplit/>
          <w:tblHeader/>
        </w:trPr>
        <w:tc>
          <w:tcPr>
            <w:tcW w:type="dxa" w:w="7704"/>
            <w:vAlign w:val="center"/>
            <w:shd w:fill="29251F"/>
            <w:tcBorders>
              <w:bottom w:val="single" w:sz="4" w:color="D6CEC3"/>
            </w:tcBorders>
          </w:tcPr>
          <w:p>
            <w:pPr>
              <w:spacing w:before="100" w:after="100" w:line="247" w:lineRule="auto"/>
            </w:pPr>
            <w:r>
              <w:rPr>
                <w:rFonts w:ascii="Arial" w:hAnsi="Arial"/>
                <w:b/>
                <w:color w:val="FFFFFF"/>
                <w:sz w:val="20"/>
              </w:rPr>
              <w:t>Expected average transaction</w:t>
            </w:r>
          </w:p>
        </w:tc>
        <w:tc>
          <w:tcPr>
            <w:tcW w:type="dxa" w:w="2376"/>
            <w:vAlign w:val="center"/>
            <w:shd w:fill="29251F"/>
            <w:tcBorders>
              <w:bottom w:val="single" w:sz="4" w:color="D6CEC3"/>
            </w:tcBorders>
          </w:tcPr>
          <w:p>
            <w:pPr>
              <w:spacing w:before="100" w:after="100" w:line="247" w:lineRule="auto"/>
            </w:pPr>
            <w:r>
              <w:rPr>
                <w:rFonts w:ascii="Arial" w:hAnsi="Arial"/>
                <w:b/>
                <w:color w:val="FFFFFF"/>
                <w:sz w:val="20"/>
              </w:rPr>
              <w:t>Rand</w:t>
            </w:r>
          </w:p>
        </w:tc>
      </w:tr>
      <w:tr>
        <w:trPr>
          <w:cantSplit/>
        </w:trPr>
        <w:tc>
          <w:tcPr>
            <w:tcW w:type="dxa" w:w="7704"/>
            <w:vAlign w:val="center"/>
            <w:shd w:fill="F3EFE8"/>
            <w:tcBorders>
              <w:bottom w:val="single" w:sz="4" w:color="D6CEC3"/>
            </w:tcBorders>
          </w:tcPr>
          <w:p>
            <w:pPr>
              <w:spacing w:before="100" w:after="100" w:line="247" w:lineRule="auto"/>
            </w:pPr>
            <w:r>
              <w:rPr>
                <w:rFonts w:ascii="Arial" w:hAnsi="Arial"/>
                <w:b w:val="0"/>
                <w:color w:val="000000"/>
                <w:sz w:val="20"/>
              </w:rPr>
              <w:t>Gross customer receipt</w:t>
            </w:r>
          </w:p>
        </w:tc>
        <w:tc>
          <w:tcPr>
            <w:tcW w:type="dxa" w:w="2376"/>
            <w:vAlign w:val="center"/>
            <w:shd w:fill="F3EFE8"/>
            <w:tcBorders>
              <w:bottom w:val="single" w:sz="4" w:color="D6CEC3"/>
            </w:tcBorders>
          </w:tcPr>
          <w:p>
            <w:pPr>
              <w:spacing w:before="100" w:after="100" w:line="247" w:lineRule="auto"/>
            </w:pPr>
            <w:r>
              <w:rPr>
                <w:rFonts w:ascii="Arial" w:hAnsi="Arial"/>
                <w:b w:val="0"/>
                <w:color w:val="000000"/>
                <w:sz w:val="20"/>
              </w:rPr>
              <w:t>53.93</w:t>
            </w:r>
          </w:p>
        </w:tc>
      </w:tr>
      <w:tr>
        <w:trPr>
          <w:cantSplit/>
        </w:trPr>
        <w:tc>
          <w:tcPr>
            <w:tcW w:type="dxa" w:w="7704"/>
            <w:vAlign w:val="center"/>
            <w:shd w:fill="FFFFFF"/>
            <w:tcBorders>
              <w:bottom w:val="single" w:sz="4" w:color="D6CEC3"/>
            </w:tcBorders>
          </w:tcPr>
          <w:p>
            <w:pPr>
              <w:spacing w:before="100" w:after="100" w:line="247" w:lineRule="auto"/>
            </w:pPr>
            <w:r>
              <w:rPr>
                <w:rFonts w:ascii="Arial" w:hAnsi="Arial"/>
                <w:b w:val="0"/>
                <w:color w:val="000000"/>
                <w:sz w:val="20"/>
              </w:rPr>
              <w:t>Net sales excluding VAT</w:t>
            </w:r>
          </w:p>
        </w:tc>
        <w:tc>
          <w:tcPr>
            <w:tcW w:type="dxa" w:w="2376"/>
            <w:vAlign w:val="center"/>
            <w:shd w:fill="FFFFFF"/>
            <w:tcBorders>
              <w:bottom w:val="single" w:sz="4" w:color="D6CEC3"/>
            </w:tcBorders>
          </w:tcPr>
          <w:p>
            <w:pPr>
              <w:spacing w:before="100" w:after="100" w:line="247" w:lineRule="auto"/>
            </w:pPr>
            <w:r>
              <w:rPr>
                <w:rFonts w:ascii="Arial" w:hAnsi="Arial"/>
                <w:b w:val="0"/>
                <w:color w:val="000000"/>
                <w:sz w:val="20"/>
              </w:rPr>
              <w:t>46.90</w:t>
            </w:r>
          </w:p>
        </w:tc>
      </w:tr>
      <w:tr>
        <w:trPr>
          <w:cantSplit/>
        </w:trPr>
        <w:tc>
          <w:tcPr>
            <w:tcW w:type="dxa" w:w="7704"/>
            <w:vAlign w:val="center"/>
            <w:shd w:fill="F3EFE8"/>
            <w:tcBorders>
              <w:bottom w:val="single" w:sz="4" w:color="D6CEC3"/>
            </w:tcBorders>
          </w:tcPr>
          <w:p>
            <w:pPr>
              <w:spacing w:before="100" w:after="100" w:line="247" w:lineRule="auto"/>
            </w:pPr>
            <w:r>
              <w:rPr>
                <w:rFonts w:ascii="Arial" w:hAnsi="Arial"/>
                <w:b w:val="0"/>
                <w:color w:val="000000"/>
                <w:sz w:val="20"/>
              </w:rPr>
              <w:t>Cost of goods sold</w:t>
            </w:r>
          </w:p>
        </w:tc>
        <w:tc>
          <w:tcPr>
            <w:tcW w:type="dxa" w:w="2376"/>
            <w:vAlign w:val="center"/>
            <w:shd w:fill="F3EFE8"/>
            <w:tcBorders>
              <w:bottom w:val="single" w:sz="4" w:color="D6CEC3"/>
            </w:tcBorders>
          </w:tcPr>
          <w:p>
            <w:pPr>
              <w:spacing w:before="100" w:after="100" w:line="247" w:lineRule="auto"/>
            </w:pPr>
            <w:r>
              <w:rPr>
                <w:rFonts w:ascii="Arial" w:hAnsi="Arial"/>
                <w:b w:val="0"/>
                <w:color w:val="000000"/>
                <w:sz w:val="20"/>
              </w:rPr>
              <w:t>19.82</w:t>
            </w:r>
          </w:p>
        </w:tc>
      </w:tr>
      <w:tr>
        <w:trPr>
          <w:cantSplit/>
        </w:trPr>
        <w:tc>
          <w:tcPr>
            <w:tcW w:type="dxa" w:w="7704"/>
            <w:vAlign w:val="center"/>
            <w:shd w:fill="FFFFFF"/>
            <w:tcBorders>
              <w:bottom w:val="single" w:sz="4" w:color="D6CEC3"/>
            </w:tcBorders>
          </w:tcPr>
          <w:p>
            <w:pPr>
              <w:spacing w:before="100" w:after="100" w:line="247" w:lineRule="auto"/>
            </w:pPr>
            <w:r>
              <w:rPr>
                <w:rFonts w:ascii="Arial" w:hAnsi="Arial"/>
                <w:b w:val="0"/>
                <w:color w:val="000000"/>
                <w:sz w:val="20"/>
              </w:rPr>
              <w:t>Gross profit</w:t>
            </w:r>
          </w:p>
        </w:tc>
        <w:tc>
          <w:tcPr>
            <w:tcW w:type="dxa" w:w="2376"/>
            <w:vAlign w:val="center"/>
            <w:shd w:fill="FFFFFF"/>
            <w:tcBorders>
              <w:bottom w:val="single" w:sz="4" w:color="D6CEC3"/>
            </w:tcBorders>
          </w:tcPr>
          <w:p>
            <w:pPr>
              <w:spacing w:before="100" w:after="100" w:line="247" w:lineRule="auto"/>
            </w:pPr>
            <w:r>
              <w:rPr>
                <w:rFonts w:ascii="Arial" w:hAnsi="Arial"/>
                <w:b w:val="0"/>
                <w:color w:val="000000"/>
                <w:sz w:val="20"/>
              </w:rPr>
              <w:t>27.07</w:t>
            </w:r>
          </w:p>
        </w:tc>
      </w:tr>
      <w:tr>
        <w:trPr>
          <w:cantSplit/>
        </w:trPr>
        <w:tc>
          <w:tcPr>
            <w:tcW w:type="dxa" w:w="7704"/>
            <w:vAlign w:val="center"/>
            <w:shd w:fill="F3EFE8"/>
            <w:tcBorders>
              <w:bottom w:val="single" w:sz="4" w:color="D6CEC3"/>
            </w:tcBorders>
          </w:tcPr>
          <w:p>
            <w:pPr>
              <w:spacing w:before="100" w:after="100" w:line="247" w:lineRule="auto"/>
            </w:pPr>
            <w:r>
              <w:rPr>
                <w:rFonts w:ascii="Arial" w:hAnsi="Arial"/>
                <w:b w:val="0"/>
                <w:color w:val="000000"/>
                <w:sz w:val="20"/>
              </w:rPr>
              <w:t>Card fee</w:t>
            </w:r>
          </w:p>
        </w:tc>
        <w:tc>
          <w:tcPr>
            <w:tcW w:type="dxa" w:w="2376"/>
            <w:vAlign w:val="center"/>
            <w:shd w:fill="F3EFE8"/>
            <w:tcBorders>
              <w:bottom w:val="single" w:sz="4" w:color="D6CEC3"/>
            </w:tcBorders>
          </w:tcPr>
          <w:p>
            <w:pPr>
              <w:spacing w:before="100" w:after="100" w:line="247" w:lineRule="auto"/>
            </w:pPr>
            <w:r>
              <w:rPr>
                <w:rFonts w:ascii="Arial" w:hAnsi="Arial"/>
                <w:b w:val="0"/>
                <w:color w:val="000000"/>
                <w:sz w:val="20"/>
              </w:rPr>
              <w:t>1.18</w:t>
            </w:r>
          </w:p>
        </w:tc>
      </w:tr>
      <w:tr>
        <w:trPr>
          <w:cantSplit/>
        </w:trPr>
        <w:tc>
          <w:tcPr>
            <w:tcW w:type="dxa" w:w="7704"/>
            <w:vAlign w:val="center"/>
            <w:shd w:fill="FFFFFF"/>
            <w:tcBorders>
              <w:bottom w:val="single" w:sz="4" w:color="D6CEC3"/>
            </w:tcBorders>
          </w:tcPr>
          <w:p>
            <w:pPr>
              <w:spacing w:before="100" w:after="100" w:line="247" w:lineRule="auto"/>
            </w:pPr>
            <w:r>
              <w:rPr>
                <w:rFonts w:ascii="Arial" w:hAnsi="Arial"/>
                <w:b w:val="0"/>
                <w:color w:val="000000"/>
                <w:sz w:val="20"/>
              </w:rPr>
              <w:t>Contribution before fixed costs</w:t>
            </w:r>
          </w:p>
        </w:tc>
        <w:tc>
          <w:tcPr>
            <w:tcW w:type="dxa" w:w="2376"/>
            <w:vAlign w:val="center"/>
            <w:shd w:fill="FFFFFF"/>
            <w:tcBorders>
              <w:bottom w:val="single" w:sz="4" w:color="D6CEC3"/>
            </w:tcBorders>
          </w:tcPr>
          <w:p>
            <w:pPr>
              <w:spacing w:before="100" w:after="100" w:line="247" w:lineRule="auto"/>
            </w:pPr>
            <w:r>
              <w:rPr>
                <w:rFonts w:ascii="Arial" w:hAnsi="Arial"/>
                <w:b w:val="0"/>
                <w:color w:val="000000"/>
                <w:sz w:val="20"/>
              </w:rPr>
              <w:t>25.89</w:t>
            </w:r>
          </w:p>
        </w:tc>
      </w:tr>
    </w:tbl>
    <w:p/>
    <w:p>
      <w:r>
        <w:t>A delivered pastry is provisionally costed at R22 and sold at R40, with a 25% attachment rate. After waste and partly recoverable VAT, its net unit cost is R22.39 against R34.78 net selling revenue. Its lower margin dilutes blended GP as attachment rises, while increasing contribution per customer. Test the delivered price and quality before agreeing the retail price.</w:t>
      </w:r>
    </w:p>
    <w:p>
      <w:pPr>
        <w:pStyle w:val="Caption"/>
      </w:pPr>
      <w:r>
        <w:t>Inputs: coffee R440/kg, matcha R3,500/kg unquoted wholesale target, dairy R22/litre and alternative milk R42/litre estimates. Menu and supply benchmarks [S1], [S3], [S4], [S6]. GP includes packaging/waste but excludes labour and card fees.</w:t>
      </w:r>
    </w:p>
    <w:p>
      <w:pPr>
        <w:pStyle w:val="Caption"/>
        <w:pageBreakBefore/>
      </w:pPr>
      <w:r>
        <w:t>06  /  COWBOY CAFE</w:t>
      </w:r>
    </w:p>
    <w:p>
      <w:pPr>
        <w:pStyle w:val="Heading1"/>
      </w:pPr>
      <w:r>
        <w:t>People, capacity and service</w:t>
      </w:r>
    </w:p>
    <w:p>
      <w:r>
        <w:t>Marius owns finance, cash control, bookkeeping and payroll oversight. Willem owns operations, supplier performance and marketing. Both may direct the company, subject to the final governance structure. The plan assumes neither founder provides routine full-day counter coverage, and no founder salary is charged initially. This is a material benefit to the forecast, not a permanent labour model.</w:t>
      </w:r>
    </w:p>
    <w:tbl>
      <w:tblPr>
        <w:tblW w:type="auto" w:w="0"/>
        <w:jc w:val="center"/>
        <w:tblLayout w:type="fixed"/>
        <w:tblLook w:firstColumn="1" w:firstRow="1" w:lastColumn="0" w:lastRow="0" w:noHBand="0" w:noVBand="1" w:val="04A0"/>
      </w:tblPr>
      <w:tblGrid>
        <w:gridCol w:w="7488"/>
        <w:gridCol w:w="2592"/>
      </w:tblGrid>
      <w:tr>
        <w:trPr>
          <w:cantSplit/>
          <w:tblHeader/>
        </w:trPr>
        <w:tc>
          <w:tcPr>
            <w:tcW w:type="dxa" w:w="7488"/>
            <w:vAlign w:val="center"/>
            <w:shd w:fill="29251F"/>
            <w:tcBorders>
              <w:bottom w:val="single" w:sz="4" w:color="D6CEC3"/>
            </w:tcBorders>
          </w:tcPr>
          <w:p>
            <w:pPr>
              <w:spacing w:before="100" w:after="100" w:line="247" w:lineRule="auto"/>
            </w:pPr>
            <w:r>
              <w:rPr>
                <w:rFonts w:ascii="Arial" w:hAnsi="Arial"/>
                <w:b/>
                <w:color w:val="FFFFFF"/>
                <w:sz w:val="20"/>
              </w:rPr>
              <w:t>Monthly payroll assumption</w:t>
            </w:r>
          </w:p>
        </w:tc>
        <w:tc>
          <w:tcPr>
            <w:tcW w:type="dxa" w:w="2592"/>
            <w:vAlign w:val="center"/>
            <w:shd w:fill="29251F"/>
            <w:tcBorders>
              <w:bottom w:val="single" w:sz="4" w:color="D6CEC3"/>
            </w:tcBorders>
          </w:tcPr>
          <w:p>
            <w:pPr>
              <w:spacing w:before="100" w:after="100" w:line="247" w:lineRule="auto"/>
            </w:pPr>
            <w:r>
              <w:rPr>
                <w:rFonts w:ascii="Arial" w:hAnsi="Arial"/>
                <w:b/>
                <w:color w:val="FFFFFF"/>
                <w:sz w:val="20"/>
              </w:rPr>
              <w:t>Rand</w:t>
            </w:r>
          </w:p>
        </w:tc>
      </w:tr>
      <w:tr>
        <w:trPr>
          <w:cantSplit/>
        </w:trPr>
        <w:tc>
          <w:tcPr>
            <w:tcW w:type="dxa" w:w="7488"/>
            <w:vAlign w:val="center"/>
            <w:shd w:fill="F3EFE8"/>
            <w:tcBorders>
              <w:bottom w:val="single" w:sz="4" w:color="D6CEC3"/>
            </w:tcBorders>
          </w:tcPr>
          <w:p>
            <w:pPr>
              <w:spacing w:before="100" w:after="100" w:line="247" w:lineRule="auto"/>
            </w:pPr>
            <w:r>
              <w:rPr>
                <w:rFonts w:ascii="Arial" w:hAnsi="Arial"/>
                <w:b w:val="0"/>
                <w:color w:val="000000"/>
                <w:sz w:val="20"/>
              </w:rPr>
              <w:t>Lead barista</w:t>
            </w:r>
          </w:p>
        </w:tc>
        <w:tc>
          <w:tcPr>
            <w:tcW w:type="dxa" w:w="2592"/>
            <w:vAlign w:val="center"/>
            <w:shd w:fill="F3EFE8"/>
            <w:tcBorders>
              <w:bottom w:val="single" w:sz="4" w:color="D6CEC3"/>
            </w:tcBorders>
          </w:tcPr>
          <w:p>
            <w:pPr>
              <w:spacing w:before="100" w:after="100" w:line="247" w:lineRule="auto"/>
            </w:pPr>
            <w:r>
              <w:rPr>
                <w:rFonts w:ascii="Arial" w:hAnsi="Arial"/>
                <w:b w:val="0"/>
                <w:color w:val="000000"/>
                <w:sz w:val="20"/>
              </w:rPr>
              <w:t>11,500</w:t>
            </w:r>
          </w:p>
        </w:tc>
      </w:tr>
      <w:tr>
        <w:trPr>
          <w:cantSplit/>
        </w:trPr>
        <w:tc>
          <w:tcPr>
            <w:tcW w:type="dxa" w:w="7488"/>
            <w:vAlign w:val="center"/>
            <w:shd w:fill="FFFFFF"/>
            <w:tcBorders>
              <w:bottom w:val="single" w:sz="4" w:color="D6CEC3"/>
            </w:tcBorders>
          </w:tcPr>
          <w:p>
            <w:pPr>
              <w:spacing w:before="100" w:after="100" w:line="247" w:lineRule="auto"/>
            </w:pPr>
            <w:r>
              <w:rPr>
                <w:rFonts w:ascii="Arial" w:hAnsi="Arial"/>
                <w:b w:val="0"/>
                <w:color w:val="000000"/>
                <w:sz w:val="20"/>
              </w:rPr>
              <w:t>Second barista</w:t>
            </w:r>
          </w:p>
        </w:tc>
        <w:tc>
          <w:tcPr>
            <w:tcW w:type="dxa" w:w="2592"/>
            <w:vAlign w:val="center"/>
            <w:shd w:fill="FFFFFF"/>
            <w:tcBorders>
              <w:bottom w:val="single" w:sz="4" w:color="D6CEC3"/>
            </w:tcBorders>
          </w:tcPr>
          <w:p>
            <w:pPr>
              <w:spacing w:before="100" w:after="100" w:line="247" w:lineRule="auto"/>
            </w:pPr>
            <w:r>
              <w:rPr>
                <w:rFonts w:ascii="Arial" w:hAnsi="Arial"/>
                <w:b w:val="0"/>
                <w:color w:val="000000"/>
                <w:sz w:val="20"/>
              </w:rPr>
              <w:t>9,000</w:t>
            </w:r>
          </w:p>
        </w:tc>
      </w:tr>
      <w:tr>
        <w:trPr>
          <w:cantSplit/>
        </w:trPr>
        <w:tc>
          <w:tcPr>
            <w:tcW w:type="dxa" w:w="7488"/>
            <w:vAlign w:val="center"/>
            <w:shd w:fill="F3EFE8"/>
            <w:tcBorders>
              <w:bottom w:val="single" w:sz="4" w:color="D6CEC3"/>
            </w:tcBorders>
          </w:tcPr>
          <w:p>
            <w:pPr>
              <w:spacing w:before="100" w:after="100" w:line="247" w:lineRule="auto"/>
            </w:pPr>
            <w:r>
              <w:rPr>
                <w:rFonts w:ascii="Arial" w:hAnsi="Arial"/>
                <w:b w:val="0"/>
                <w:color w:val="000000"/>
                <w:sz w:val="20"/>
              </w:rPr>
              <w:t>Service all-rounder</w:t>
            </w:r>
          </w:p>
        </w:tc>
        <w:tc>
          <w:tcPr>
            <w:tcW w:type="dxa" w:w="2592"/>
            <w:vAlign w:val="center"/>
            <w:shd w:fill="F3EFE8"/>
            <w:tcBorders>
              <w:bottom w:val="single" w:sz="4" w:color="D6CEC3"/>
            </w:tcBorders>
          </w:tcPr>
          <w:p>
            <w:pPr>
              <w:spacing w:before="100" w:after="100" w:line="247" w:lineRule="auto"/>
            </w:pPr>
            <w:r>
              <w:rPr>
                <w:rFonts w:ascii="Arial" w:hAnsi="Arial"/>
                <w:b w:val="0"/>
                <w:color w:val="000000"/>
                <w:sz w:val="20"/>
              </w:rPr>
              <w:t>8,000</w:t>
            </w:r>
          </w:p>
        </w:tc>
      </w:tr>
      <w:tr>
        <w:trPr>
          <w:cantSplit/>
        </w:trPr>
        <w:tc>
          <w:tcPr>
            <w:tcW w:type="dxa" w:w="7488"/>
            <w:vAlign w:val="center"/>
            <w:shd w:fill="FFFFFF"/>
            <w:tcBorders>
              <w:bottom w:val="single" w:sz="4" w:color="D6CEC3"/>
            </w:tcBorders>
          </w:tcPr>
          <w:p>
            <w:pPr>
              <w:spacing w:before="100" w:after="100" w:line="247" w:lineRule="auto"/>
            </w:pPr>
            <w:r>
              <w:rPr>
                <w:rFonts w:ascii="Arial" w:hAnsi="Arial"/>
                <w:b w:val="0"/>
                <w:color w:val="000000"/>
                <w:sz w:val="20"/>
              </w:rPr>
              <w:t>Sunday premium provision</w:t>
            </w:r>
          </w:p>
        </w:tc>
        <w:tc>
          <w:tcPr>
            <w:tcW w:type="dxa" w:w="2592"/>
            <w:vAlign w:val="center"/>
            <w:shd w:fill="FFFFFF"/>
            <w:tcBorders>
              <w:bottom w:val="single" w:sz="4" w:color="D6CEC3"/>
            </w:tcBorders>
          </w:tcPr>
          <w:p>
            <w:pPr>
              <w:spacing w:before="100" w:after="100" w:line="247" w:lineRule="auto"/>
            </w:pPr>
            <w:r>
              <w:rPr>
                <w:rFonts w:ascii="Arial" w:hAnsi="Arial"/>
                <w:b w:val="0"/>
                <w:color w:val="000000"/>
                <w:sz w:val="20"/>
              </w:rPr>
              <w:t>1,800</w:t>
            </w:r>
          </w:p>
        </w:tc>
      </w:tr>
      <w:tr>
        <w:trPr>
          <w:cantSplit/>
        </w:trPr>
        <w:tc>
          <w:tcPr>
            <w:tcW w:type="dxa" w:w="7488"/>
            <w:vAlign w:val="center"/>
            <w:shd w:fill="F3EFE8"/>
            <w:tcBorders>
              <w:bottom w:val="single" w:sz="4" w:color="D6CEC3"/>
            </w:tcBorders>
          </w:tcPr>
          <w:p>
            <w:pPr>
              <w:spacing w:before="100" w:after="100" w:line="247" w:lineRule="auto"/>
            </w:pPr>
            <w:r>
              <w:rPr>
                <w:rFonts w:ascii="Arial" w:hAnsi="Arial"/>
                <w:b w:val="0"/>
                <w:color w:val="000000"/>
                <w:sz w:val="20"/>
              </w:rPr>
              <w:t>Public-holiday premium provision</w:t>
            </w:r>
          </w:p>
        </w:tc>
        <w:tc>
          <w:tcPr>
            <w:tcW w:type="dxa" w:w="2592"/>
            <w:vAlign w:val="center"/>
            <w:shd w:fill="F3EFE8"/>
            <w:tcBorders>
              <w:bottom w:val="single" w:sz="4" w:color="D6CEC3"/>
            </w:tcBorders>
          </w:tcPr>
          <w:p>
            <w:pPr>
              <w:spacing w:before="100" w:after="100" w:line="247" w:lineRule="auto"/>
            </w:pPr>
            <w:r>
              <w:rPr>
                <w:rFonts w:ascii="Arial" w:hAnsi="Arial"/>
                <w:b w:val="0"/>
                <w:color w:val="000000"/>
                <w:sz w:val="20"/>
              </w:rPr>
              <w:t>750</w:t>
            </w:r>
          </w:p>
        </w:tc>
      </w:tr>
      <w:tr>
        <w:trPr>
          <w:cantSplit/>
        </w:trPr>
        <w:tc>
          <w:tcPr>
            <w:tcW w:type="dxa" w:w="7488"/>
            <w:vAlign w:val="center"/>
            <w:shd w:fill="FFFFFF"/>
            <w:tcBorders>
              <w:bottom w:val="single" w:sz="4" w:color="D6CEC3"/>
            </w:tcBorders>
          </w:tcPr>
          <w:p>
            <w:pPr>
              <w:spacing w:before="100" w:after="100" w:line="247" w:lineRule="auto"/>
            </w:pPr>
            <w:r>
              <w:rPr>
                <w:rFonts w:ascii="Arial" w:hAnsi="Arial"/>
                <w:b w:val="0"/>
                <w:color w:val="000000"/>
                <w:sz w:val="20"/>
              </w:rPr>
              <w:t>Leave and sickness relief</w:t>
            </w:r>
          </w:p>
        </w:tc>
        <w:tc>
          <w:tcPr>
            <w:tcW w:type="dxa" w:w="2592"/>
            <w:vAlign w:val="center"/>
            <w:shd w:fill="FFFFFF"/>
            <w:tcBorders>
              <w:bottom w:val="single" w:sz="4" w:color="D6CEC3"/>
            </w:tcBorders>
          </w:tcPr>
          <w:p>
            <w:pPr>
              <w:spacing w:before="100" w:after="100" w:line="247" w:lineRule="auto"/>
            </w:pPr>
            <w:r>
              <w:rPr>
                <w:rFonts w:ascii="Arial" w:hAnsi="Arial"/>
                <w:b w:val="0"/>
                <w:color w:val="000000"/>
                <w:sz w:val="20"/>
              </w:rPr>
              <w:t>2,000</w:t>
            </w:r>
          </w:p>
        </w:tc>
      </w:tr>
      <w:tr>
        <w:trPr>
          <w:cantSplit/>
        </w:trPr>
        <w:tc>
          <w:tcPr>
            <w:tcW w:type="dxa" w:w="7488"/>
            <w:vAlign w:val="center"/>
            <w:shd w:fill="F3EFE8"/>
            <w:tcBorders>
              <w:bottom w:val="single" w:sz="4" w:color="D6CEC3"/>
            </w:tcBorders>
          </w:tcPr>
          <w:p>
            <w:pPr>
              <w:spacing w:before="100" w:after="100" w:line="247" w:lineRule="auto"/>
            </w:pPr>
            <w:r>
              <w:rPr>
                <w:rFonts w:ascii="Arial" w:hAnsi="Arial"/>
                <w:b w:val="0"/>
                <w:color w:val="000000"/>
                <w:sz w:val="20"/>
              </w:rPr>
              <w:t>Employer UIF, COIDA and council allowances</w:t>
            </w:r>
          </w:p>
        </w:tc>
        <w:tc>
          <w:tcPr>
            <w:tcW w:type="dxa" w:w="2592"/>
            <w:vAlign w:val="center"/>
            <w:shd w:fill="F3EFE8"/>
            <w:tcBorders>
              <w:bottom w:val="single" w:sz="4" w:color="D6CEC3"/>
            </w:tcBorders>
          </w:tcPr>
          <w:p>
            <w:pPr>
              <w:spacing w:before="100" w:after="100" w:line="247" w:lineRule="auto"/>
            </w:pPr>
            <w:r>
              <w:rPr>
                <w:rFonts w:ascii="Arial" w:hAnsi="Arial"/>
                <w:b w:val="0"/>
                <w:color w:val="000000"/>
                <w:sz w:val="20"/>
              </w:rPr>
              <w:t>1,411</w:t>
            </w:r>
          </w:p>
        </w:tc>
      </w:tr>
      <w:tr>
        <w:trPr>
          <w:cantSplit/>
        </w:trPr>
        <w:tc>
          <w:tcPr>
            <w:tcW w:type="dxa" w:w="7488"/>
            <w:vAlign w:val="center"/>
            <w:shd w:fill="FFFFFF"/>
            <w:tcBorders>
              <w:bottom w:val="single" w:sz="4" w:color="D6CEC3"/>
            </w:tcBorders>
          </w:tcPr>
          <w:p>
            <w:pPr>
              <w:spacing w:before="100" w:after="100" w:line="247" w:lineRule="auto"/>
            </w:pPr>
            <w:r>
              <w:rPr>
                <w:rFonts w:ascii="Arial" w:hAnsi="Arial"/>
                <w:b w:val="0"/>
                <w:color w:val="000000"/>
                <w:sz w:val="20"/>
              </w:rPr>
              <w:t>Total</w:t>
            </w:r>
          </w:p>
        </w:tc>
        <w:tc>
          <w:tcPr>
            <w:tcW w:type="dxa" w:w="2592"/>
            <w:vAlign w:val="center"/>
            <w:shd w:fill="FFFFFF"/>
            <w:tcBorders>
              <w:bottom w:val="single" w:sz="4" w:color="D6CEC3"/>
            </w:tcBorders>
          </w:tcPr>
          <w:p>
            <w:pPr>
              <w:spacing w:before="100" w:after="100" w:line="247" w:lineRule="auto"/>
            </w:pPr>
            <w:r>
              <w:rPr>
                <w:rFonts w:ascii="Arial" w:hAnsi="Arial"/>
                <w:b w:val="0"/>
                <w:color w:val="000000"/>
                <w:sz w:val="20"/>
              </w:rPr>
              <w:t>34,461</w:t>
            </w:r>
          </w:p>
        </w:tc>
      </w:tr>
    </w:tbl>
    <w:p/>
    <w:p>
      <w:r>
        <w:t>The planning roster offers 120 paid staff hours each week. Trading from 07:00 to 17:00 seven days a week consumes 70 hours of single-person coverage; opening and closing add 7 hours. The remaining 43 hours provide peak overlap and meal-break cover. This requires solo operation during quieter periods. It is a capacity check, not a final compliant roster.</w:t>
      </w:r>
    </w:p>
    <w:p>
      <w:r>
        <w:t>Recruit the lead for experience and train all three staff in recipes, milk handling, cleaning and cash controls. R12,000 is provided for initial barista training. Build a named relief pool before opening; a monetary leave allowance does not itself produce a trained replacement. Track queue time and sales by half-hour to decide when additional coverage is justified.</w:t>
      </w:r>
    </w:p>
    <w:p>
      <w:r>
        <w:t>The 2026 national minimum wage is R30.23 per hour. Confirm 2027 rates, applicable bargaining-council terms, Sunday/holiday treatment, ordinary hours, rest and breaks before contracts are signed. The model’s council and relief allowances are provisional. Optimistic sales retain the same initial headcount and therefore require an operational capacity test.</w:t>
      </w:r>
    </w:p>
    <w:p>
      <w:pPr>
        <w:pStyle w:val="Caption"/>
      </w:pPr>
      <w:r>
        <w:t>Labour and training references: [S10], [S11], [S12]. Wages proposed here exceed the 2026 national floor on the 40-hour planning basis; this is not confirmation of all applicable sector terms.</w:t>
      </w:r>
    </w:p>
    <w:p>
      <w:pPr>
        <w:pStyle w:val="Caption"/>
        <w:pageBreakBefore/>
      </w:pPr>
      <w:r>
        <w:t>07  /  COWBOY CAFE</w:t>
      </w:r>
    </w:p>
    <w:p>
      <w:pPr>
        <w:pStyle w:val="Heading1"/>
      </w:pPr>
      <w:r>
        <w:t>Operating systems and launch marketing</w:t>
      </w:r>
    </w:p>
    <w:p>
      <w:pPr>
        <w:pStyle w:val="Heading2"/>
      </w:pPr>
      <w:r>
        <w:t>Daily operating discipline</w:t>
      </w:r>
    </w:p>
    <w:p>
      <w:r>
        <w:t>Open with a written checklist covering temperature, equipment, water supply, dial-in, stock and cash float. Receive pastries by count and quality, record rejects and delivery time, and buy against the day’s expected demand. Record waste separately by product; staff drinks, complimentary drinks and voids must be visible in the POS rather than hidden in stock differences.</w:t>
      </w:r>
    </w:p>
    <w:p>
      <w:r>
        <w:t>At close, reconcile card settlements and cash to POS sales, record cleaning and temperature checks, and count high-value stock. Willem reviews service failures and ordering; Marius reviews daily reconciliation exceptions and a weekly cash forecast. Maintain two trained people who can place orders so the founder is not a single point of failure.</w:t>
      </w:r>
    </w:p>
    <w:p>
      <w:pPr>
        <w:pStyle w:val="Heading2"/>
      </w:pPr>
      <w:r>
        <w:t>Stock and suppliers</w:t>
      </w:r>
    </w:p>
    <w:p>
      <w:r>
        <w:t>Start with a narrow pastry range and a primary and backup supplier. Obtain written delivered prices, VAT status, minimum orders, returns policy and cut-off times. Agree coffee freshness, machine servicing and filter replacement responsibilities. Matcha must pass taste and preparation tests at the specified 2 g dose; a low wholesale quote is not enough if the drink disappoints.</w:t>
      </w:r>
    </w:p>
    <w:p>
      <w:pPr>
        <w:pStyle w:val="Heading2"/>
      </w:pPr>
      <w:r>
        <w:t>Marketing that can be measured</w:t>
      </w:r>
    </w:p>
    <w:tbl>
      <w:tblPr>
        <w:tblW w:type="auto" w:w="0"/>
        <w:tblLayout w:type="fixed"/>
        <w:tblLook w:firstColumn="1" w:firstRow="1" w:lastColumn="0" w:lastRow="0" w:noHBand="0" w:noVBand="1" w:val="04A0"/>
      </w:tblPr>
      <w:tblGrid>
        <w:gridCol w:w="2448"/>
        <w:gridCol w:w="7632"/>
      </w:tblGrid>
      <w:tr>
        <w:tc>
          <w:tcPr>
            <w:tcW w:type="dxa" w:w="5040"/>
          </w:tcPr>
          <w:p>
            <w:r>
              <w:drawing>
                <wp:inline xmlns:a="http://schemas.openxmlformats.org/drawingml/2006/main" xmlns:pic="http://schemas.openxmlformats.org/drawingml/2006/picture">
                  <wp:extent cx="1170849" cy="146304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170849" cy="1463040"/>
                          </a:xfrm>
                          <a:prstGeom prst="rect"/>
                        </pic:spPr>
                      </pic:pic>
                    </a:graphicData>
                  </a:graphic>
                </wp:inline>
              </w:drawing>
            </w:r>
          </w:p>
        </w:tc>
        <w:tc>
          <w:tcPr>
            <w:tcW w:type="dxa" w:w="5040"/>
          </w:tcPr>
          <w:p>
            <w:r>
              <w:t>Use the branded cup as a repeat visual cue, with a simple shopfront, legible menu and consistent photography. Build a local social presence before opening and list accurate hours and location once the lease is confirmed. Seek a gym/Pilates offer only with the operator’s agreement. Cost any discount as a reduction in realised selling price; no free partner distribution has been assumed.</w:t>
            </w:r>
          </w:p>
          <w:p>
            <w:pPr>
              <w:pStyle w:val="Caption"/>
            </w:pPr>
            <w:r>
              <w:t>Approved cup concept. Supplier quote and print proof pending.</w:t>
            </w:r>
          </w:p>
        </w:tc>
      </w:tr>
    </w:tbl>
    <w:p>
      <w:r>
        <w:t>The recurring marketing allowance is R2,500 including VAT. Track promotional redemptions, repeat purchase and transaction frequency rather than follower count alone. Trial loyalty rewards only after the contribution model includes their cost. Protect the atmosphere with clear pickup flow, dependable Wi-Fi and enough plug access without allowing long stays to block all peak seating.</w:t>
      </w:r>
    </w:p>
    <w:tbl>
      <w:tblPr>
        <w:tblW w:type="auto" w:w="0"/>
        <w:jc w:val="center"/>
        <w:tblLayout w:type="fixed"/>
        <w:tblLook w:firstColumn="1" w:firstRow="1" w:lastColumn="0" w:lastRow="0" w:noHBand="0" w:noVBand="1" w:val="04A0"/>
      </w:tblPr>
      <w:tblGrid>
        <w:gridCol w:w="3528"/>
        <w:gridCol w:w="6552"/>
      </w:tblGrid>
      <w:tr>
        <w:trPr>
          <w:cantSplit/>
          <w:tblHeader/>
        </w:trPr>
        <w:tc>
          <w:tcPr>
            <w:tcW w:type="dxa" w:w="3528"/>
            <w:vAlign w:val="center"/>
            <w:shd w:fill="29251F"/>
            <w:tcBorders>
              <w:bottom w:val="single" w:sz="4" w:color="D6CEC3"/>
            </w:tcBorders>
          </w:tcPr>
          <w:p>
            <w:pPr>
              <w:spacing w:before="100" w:after="100" w:line="247" w:lineRule="auto"/>
            </w:pPr>
            <w:r>
              <w:rPr>
                <w:rFonts w:ascii="Arial" w:hAnsi="Arial"/>
                <w:b/>
                <w:color w:val="FFFFFF"/>
                <w:sz w:val="20"/>
              </w:rPr>
              <w:t>Weekly dashboard</w:t>
            </w:r>
          </w:p>
        </w:tc>
        <w:tc>
          <w:tcPr>
            <w:tcW w:type="dxa" w:w="6552"/>
            <w:vAlign w:val="center"/>
            <w:shd w:fill="29251F"/>
            <w:tcBorders>
              <w:bottom w:val="single" w:sz="4" w:color="D6CEC3"/>
            </w:tcBorders>
          </w:tcPr>
          <w:p>
            <w:pPr>
              <w:spacing w:before="100" w:after="100" w:line="247" w:lineRule="auto"/>
            </w:pPr>
            <w:r>
              <w:rPr>
                <w:rFonts w:ascii="Arial" w:hAnsi="Arial"/>
                <w:b/>
                <w:color w:val="FFFFFF"/>
                <w:sz w:val="20"/>
              </w:rPr>
              <w:t>Initial control point</w:t>
            </w:r>
          </w:p>
        </w:tc>
      </w:tr>
      <w:tr>
        <w:trPr>
          <w:cantSplit/>
        </w:trPr>
        <w:tc>
          <w:tcPr>
            <w:tcW w:type="dxa" w:w="3528"/>
            <w:vAlign w:val="center"/>
            <w:shd w:fill="F3EFE8"/>
            <w:tcBorders>
              <w:bottom w:val="single" w:sz="4" w:color="D6CEC3"/>
            </w:tcBorders>
          </w:tcPr>
          <w:p>
            <w:pPr>
              <w:spacing w:before="100" w:after="100" w:line="247" w:lineRule="auto"/>
            </w:pPr>
            <w:r>
              <w:rPr>
                <w:rFonts w:ascii="Arial" w:hAnsi="Arial"/>
                <w:b w:val="0"/>
                <w:color w:val="000000"/>
                <w:sz w:val="20"/>
              </w:rPr>
              <w:t>Transactions / average basket</w:t>
            </w:r>
          </w:p>
        </w:tc>
        <w:tc>
          <w:tcPr>
            <w:tcW w:type="dxa" w:w="6552"/>
            <w:vAlign w:val="center"/>
            <w:shd w:fill="F3EFE8"/>
            <w:tcBorders>
              <w:bottom w:val="single" w:sz="4" w:color="D6CEC3"/>
            </w:tcBorders>
          </w:tcPr>
          <w:p>
            <w:pPr>
              <w:spacing w:before="100" w:after="100" w:line="247" w:lineRule="auto"/>
            </w:pPr>
            <w:r>
              <w:rPr>
                <w:rFonts w:ascii="Arial" w:hAnsi="Arial"/>
                <w:b w:val="0"/>
                <w:color w:val="000000"/>
                <w:sz w:val="20"/>
              </w:rPr>
              <w:t>Compare actual to the active scenario and time-of-day demand.</w:t>
            </w:r>
          </w:p>
        </w:tc>
      </w:tr>
      <w:tr>
        <w:trPr>
          <w:cantSplit/>
        </w:trPr>
        <w:tc>
          <w:tcPr>
            <w:tcW w:type="dxa" w:w="3528"/>
            <w:vAlign w:val="center"/>
            <w:shd w:fill="FFFFFF"/>
            <w:tcBorders>
              <w:bottom w:val="single" w:sz="4" w:color="D6CEC3"/>
            </w:tcBorders>
          </w:tcPr>
          <w:p>
            <w:pPr>
              <w:spacing w:before="100" w:after="100" w:line="247" w:lineRule="auto"/>
            </w:pPr>
            <w:r>
              <w:rPr>
                <w:rFonts w:ascii="Arial" w:hAnsi="Arial"/>
                <w:b w:val="0"/>
                <w:color w:val="000000"/>
                <w:sz w:val="20"/>
              </w:rPr>
              <w:t>GP / waste / attachment</w:t>
            </w:r>
          </w:p>
        </w:tc>
        <w:tc>
          <w:tcPr>
            <w:tcW w:type="dxa" w:w="6552"/>
            <w:vAlign w:val="center"/>
            <w:shd w:fill="FFFFFF"/>
            <w:tcBorders>
              <w:bottom w:val="single" w:sz="4" w:color="D6CEC3"/>
            </w:tcBorders>
          </w:tcPr>
          <w:p>
            <w:pPr>
              <w:spacing w:before="100" w:after="100" w:line="247" w:lineRule="auto"/>
            </w:pPr>
            <w:r>
              <w:rPr>
                <w:rFonts w:ascii="Arial" w:hAnsi="Arial"/>
                <w:b w:val="0"/>
                <w:color w:val="000000"/>
                <w:sz w:val="20"/>
              </w:rPr>
              <w:t>Reconcile recipe margin to purchases and stock movement.</w:t>
            </w:r>
          </w:p>
        </w:tc>
      </w:tr>
      <w:tr>
        <w:trPr>
          <w:cantSplit/>
        </w:trPr>
        <w:tc>
          <w:tcPr>
            <w:tcW w:type="dxa" w:w="3528"/>
            <w:vAlign w:val="center"/>
            <w:shd w:fill="F3EFE8"/>
            <w:tcBorders>
              <w:bottom w:val="single" w:sz="4" w:color="D6CEC3"/>
            </w:tcBorders>
          </w:tcPr>
          <w:p>
            <w:pPr>
              <w:spacing w:before="100" w:after="100" w:line="247" w:lineRule="auto"/>
            </w:pPr>
            <w:r>
              <w:rPr>
                <w:rFonts w:ascii="Arial" w:hAnsi="Arial"/>
                <w:b w:val="0"/>
                <w:color w:val="000000"/>
                <w:sz w:val="20"/>
              </w:rPr>
              <w:t>Cash and payroll cover</w:t>
            </w:r>
          </w:p>
        </w:tc>
        <w:tc>
          <w:tcPr>
            <w:tcW w:type="dxa" w:w="6552"/>
            <w:vAlign w:val="center"/>
            <w:shd w:fill="F3EFE8"/>
            <w:tcBorders>
              <w:bottom w:val="single" w:sz="4" w:color="D6CEC3"/>
            </w:tcBorders>
          </w:tcPr>
          <w:p>
            <w:pPr>
              <w:spacing w:before="100" w:after="100" w:line="247" w:lineRule="auto"/>
            </w:pPr>
            <w:r>
              <w:rPr>
                <w:rFonts w:ascii="Arial" w:hAnsi="Arial"/>
                <w:b w:val="0"/>
                <w:color w:val="000000"/>
                <w:sz w:val="20"/>
              </w:rPr>
              <w:t>13-week cash view, lender outlays, roster and relief availability.</w:t>
            </w:r>
          </w:p>
        </w:tc>
      </w:tr>
    </w:tbl>
    <w:p/>
    <w:p>
      <w:pPr>
        <w:pStyle w:val="Caption"/>
        <w:pageBreakBefore/>
      </w:pPr>
      <w:r>
        <w:t>08  /  COWBOY CAFE</w:t>
      </w:r>
    </w:p>
    <w:p>
      <w:pPr>
        <w:pStyle w:val="Heading1"/>
      </w:pPr>
      <w:r>
        <w:t>Capital and opening funding</w:t>
      </w:r>
    </w:p>
    <w:tbl>
      <w:tblPr>
        <w:tblW w:type="auto" w:w="0"/>
        <w:jc w:val="center"/>
        <w:tblLayout w:type="fixed"/>
        <w:tblLook w:firstColumn="1" w:firstRow="1" w:lastColumn="0" w:lastRow="0" w:noHBand="0" w:noVBand="1" w:val="04A0"/>
      </w:tblPr>
      <w:tblGrid>
        <w:gridCol w:w="5112"/>
        <w:gridCol w:w="1656"/>
        <w:gridCol w:w="1656"/>
        <w:gridCol w:w="1656"/>
      </w:tblGrid>
      <w:tr>
        <w:trPr>
          <w:cantSplit/>
          <w:tblHeader/>
        </w:trPr>
        <w:tc>
          <w:tcPr>
            <w:tcW w:type="dxa" w:w="5112"/>
            <w:vAlign w:val="center"/>
            <w:shd w:fill="29251F"/>
            <w:tcBorders>
              <w:bottom w:val="single" w:sz="4" w:color="D6CEC3"/>
            </w:tcBorders>
          </w:tcPr>
          <w:p>
            <w:pPr>
              <w:spacing w:before="100" w:after="100" w:line="247" w:lineRule="auto"/>
            </w:pPr>
            <w:r>
              <w:rPr>
                <w:rFonts w:ascii="Arial" w:hAnsi="Arial"/>
                <w:b/>
                <w:color w:val="FFFFFF"/>
                <w:sz w:val="20"/>
              </w:rPr>
              <w:t>Capital allowance, including VAT</w:t>
            </w:r>
          </w:p>
        </w:tc>
        <w:tc>
          <w:tcPr>
            <w:tcW w:type="dxa" w:w="1656"/>
            <w:vAlign w:val="center"/>
            <w:shd w:fill="29251F"/>
            <w:tcBorders>
              <w:bottom w:val="single" w:sz="4" w:color="D6CEC3"/>
            </w:tcBorders>
          </w:tcPr>
          <w:p>
            <w:pPr>
              <w:spacing w:before="100" w:after="100" w:line="247" w:lineRule="auto"/>
            </w:pPr>
            <w:r>
              <w:rPr>
                <w:rFonts w:ascii="Arial" w:hAnsi="Arial"/>
                <w:b/>
                <w:color w:val="FFFFFF"/>
                <w:sz w:val="20"/>
              </w:rPr>
              <w:t>Low</w:t>
            </w:r>
          </w:p>
        </w:tc>
        <w:tc>
          <w:tcPr>
            <w:tcW w:type="dxa" w:w="1656"/>
            <w:vAlign w:val="center"/>
            <w:shd w:fill="29251F"/>
            <w:tcBorders>
              <w:bottom w:val="single" w:sz="4" w:color="D6CEC3"/>
            </w:tcBorders>
          </w:tcPr>
          <w:p>
            <w:pPr>
              <w:spacing w:before="100" w:after="100" w:line="247" w:lineRule="auto"/>
            </w:pPr>
            <w:r>
              <w:rPr>
                <w:rFonts w:ascii="Arial" w:hAnsi="Arial"/>
                <w:b/>
                <w:color w:val="FFFFFF"/>
                <w:sz w:val="20"/>
              </w:rPr>
              <w:t>Base</w:t>
            </w:r>
          </w:p>
        </w:tc>
        <w:tc>
          <w:tcPr>
            <w:tcW w:type="dxa" w:w="1656"/>
            <w:vAlign w:val="center"/>
            <w:shd w:fill="29251F"/>
            <w:tcBorders>
              <w:bottom w:val="single" w:sz="4" w:color="D6CEC3"/>
            </w:tcBorders>
          </w:tcPr>
          <w:p>
            <w:pPr>
              <w:spacing w:before="100" w:after="100" w:line="247" w:lineRule="auto"/>
            </w:pPr>
            <w:r>
              <w:rPr>
                <w:rFonts w:ascii="Arial" w:hAnsi="Arial"/>
                <w:b/>
                <w:color w:val="FFFFFF"/>
                <w:sz w:val="20"/>
              </w:rPr>
              <w:t>High</w:t>
            </w:r>
          </w:p>
        </w:tc>
      </w:tr>
      <w:tr>
        <w:trPr>
          <w:cantSplit/>
        </w:trPr>
        <w:tc>
          <w:tcPr>
            <w:tcW w:type="dxa" w:w="5112"/>
            <w:vAlign w:val="center"/>
            <w:shd w:fill="F3EFE8"/>
            <w:tcBorders>
              <w:bottom w:val="single" w:sz="4" w:color="D6CEC3"/>
            </w:tcBorders>
          </w:tcPr>
          <w:p>
            <w:pPr>
              <w:spacing w:before="100" w:after="100" w:line="247" w:lineRule="auto"/>
            </w:pPr>
            <w:r>
              <w:rPr>
                <w:rFonts w:ascii="Arial" w:hAnsi="Arial"/>
                <w:b w:val="0"/>
                <w:color w:val="000000"/>
                <w:sz w:val="20"/>
              </w:rPr>
              <w:t>Espresso machine and main grinder</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92</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109</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160</w:t>
            </w:r>
          </w:p>
        </w:tc>
      </w:tr>
      <w:tr>
        <w:trPr>
          <w:cantSplit/>
        </w:trPr>
        <w:tc>
          <w:tcPr>
            <w:tcW w:type="dxa" w:w="5112"/>
            <w:vAlign w:val="center"/>
            <w:shd w:fill="FFFFFF"/>
            <w:tcBorders>
              <w:bottom w:val="single" w:sz="4" w:color="D6CEC3"/>
            </w:tcBorders>
          </w:tcPr>
          <w:p>
            <w:pPr>
              <w:spacing w:before="100" w:after="100" w:line="247" w:lineRule="auto"/>
            </w:pPr>
            <w:r>
              <w:rPr>
                <w:rFonts w:ascii="Arial" w:hAnsi="Arial"/>
                <w:b w:val="0"/>
                <w:color w:val="000000"/>
                <w:sz w:val="20"/>
              </w:rPr>
              <w:t>Decaf grinder</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7</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10</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16</w:t>
            </w:r>
          </w:p>
        </w:tc>
      </w:tr>
      <w:tr>
        <w:trPr>
          <w:cantSplit/>
        </w:trPr>
        <w:tc>
          <w:tcPr>
            <w:tcW w:type="dxa" w:w="5112"/>
            <w:vAlign w:val="center"/>
            <w:shd w:fill="F3EFE8"/>
            <w:tcBorders>
              <w:bottom w:val="single" w:sz="4" w:color="D6CEC3"/>
            </w:tcBorders>
          </w:tcPr>
          <w:p>
            <w:pPr>
              <w:spacing w:before="100" w:after="100" w:line="247" w:lineRule="auto"/>
            </w:pPr>
            <w:r>
              <w:rPr>
                <w:rFonts w:ascii="Arial" w:hAnsi="Arial"/>
                <w:b w:val="0"/>
                <w:color w:val="000000"/>
                <w:sz w:val="20"/>
              </w:rPr>
              <w:t>Water treatment and installation</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6</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9</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14</w:t>
            </w:r>
          </w:p>
        </w:tc>
      </w:tr>
      <w:tr>
        <w:trPr>
          <w:cantSplit/>
        </w:trPr>
        <w:tc>
          <w:tcPr>
            <w:tcW w:type="dxa" w:w="5112"/>
            <w:vAlign w:val="center"/>
            <w:shd w:fill="FFFFFF"/>
            <w:tcBorders>
              <w:bottom w:val="single" w:sz="4" w:color="D6CEC3"/>
            </w:tcBorders>
          </w:tcPr>
          <w:p>
            <w:pPr>
              <w:spacing w:before="100" w:after="100" w:line="247" w:lineRule="auto"/>
            </w:pPr>
            <w:r>
              <w:rPr>
                <w:rFonts w:ascii="Arial" w:hAnsi="Arial"/>
                <w:b w:val="0"/>
                <w:color w:val="000000"/>
                <w:sz w:val="20"/>
              </w:rPr>
              <w:t>Milk undercounter refrigeration</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12</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18</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25</w:t>
            </w:r>
          </w:p>
        </w:tc>
      </w:tr>
      <w:tr>
        <w:trPr>
          <w:cantSplit/>
        </w:trPr>
        <w:tc>
          <w:tcPr>
            <w:tcW w:type="dxa" w:w="5112"/>
            <w:vAlign w:val="center"/>
            <w:shd w:fill="F3EFE8"/>
            <w:tcBorders>
              <w:bottom w:val="single" w:sz="4" w:color="D6CEC3"/>
            </w:tcBorders>
          </w:tcPr>
          <w:p>
            <w:pPr>
              <w:spacing w:before="100" w:after="100" w:line="247" w:lineRule="auto"/>
            </w:pPr>
            <w:r>
              <w:rPr>
                <w:rFonts w:ascii="Arial" w:hAnsi="Arial"/>
                <w:b w:val="0"/>
                <w:color w:val="000000"/>
                <w:sz w:val="20"/>
              </w:rPr>
              <w:t>Ice maker</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14</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20</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30</w:t>
            </w:r>
          </w:p>
        </w:tc>
      </w:tr>
      <w:tr>
        <w:trPr>
          <w:cantSplit/>
        </w:trPr>
        <w:tc>
          <w:tcPr>
            <w:tcW w:type="dxa" w:w="5112"/>
            <w:vAlign w:val="center"/>
            <w:shd w:fill="FFFFFF"/>
            <w:tcBorders>
              <w:bottom w:val="single" w:sz="4" w:color="D6CEC3"/>
            </w:tcBorders>
          </w:tcPr>
          <w:p>
            <w:pPr>
              <w:spacing w:before="100" w:after="100" w:line="247" w:lineRule="auto"/>
            </w:pPr>
            <w:r>
              <w:rPr>
                <w:rFonts w:ascii="Arial" w:hAnsi="Arial"/>
                <w:b w:val="0"/>
                <w:color w:val="000000"/>
                <w:sz w:val="20"/>
              </w:rPr>
              <w:t>Pastry warming oven</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6</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10</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16</w:t>
            </w:r>
          </w:p>
        </w:tc>
      </w:tr>
      <w:tr>
        <w:trPr>
          <w:cantSplit/>
        </w:trPr>
        <w:tc>
          <w:tcPr>
            <w:tcW w:type="dxa" w:w="5112"/>
            <w:vAlign w:val="center"/>
            <w:shd w:fill="F3EFE8"/>
            <w:tcBorders>
              <w:bottom w:val="single" w:sz="4" w:color="D6CEC3"/>
            </w:tcBorders>
          </w:tcPr>
          <w:p>
            <w:pPr>
              <w:spacing w:before="100" w:after="100" w:line="247" w:lineRule="auto"/>
            </w:pPr>
            <w:r>
              <w:rPr>
                <w:rFonts w:ascii="Arial" w:hAnsi="Arial"/>
                <w:b w:val="0"/>
                <w:color w:val="000000"/>
                <w:sz w:val="20"/>
              </w:rPr>
              <w:t>Pastry display and smallwares</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15</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22</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32</w:t>
            </w:r>
          </w:p>
        </w:tc>
      </w:tr>
      <w:tr>
        <w:trPr>
          <w:cantSplit/>
        </w:trPr>
        <w:tc>
          <w:tcPr>
            <w:tcW w:type="dxa" w:w="5112"/>
            <w:vAlign w:val="center"/>
            <w:shd w:fill="FFFFFF"/>
            <w:tcBorders>
              <w:bottom w:val="single" w:sz="4" w:color="D6CEC3"/>
            </w:tcBorders>
          </w:tcPr>
          <w:p>
            <w:pPr>
              <w:spacing w:before="100" w:after="100" w:line="247" w:lineRule="auto"/>
            </w:pPr>
            <w:r>
              <w:rPr>
                <w:rFonts w:ascii="Arial" w:hAnsi="Arial"/>
                <w:b w:val="0"/>
                <w:color w:val="000000"/>
                <w:sz w:val="20"/>
              </w:rPr>
              <w:t>POS hardware and printer</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5</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7</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10</w:t>
            </w:r>
          </w:p>
        </w:tc>
      </w:tr>
      <w:tr>
        <w:trPr>
          <w:cantSplit/>
        </w:trPr>
        <w:tc>
          <w:tcPr>
            <w:tcW w:type="dxa" w:w="5112"/>
            <w:vAlign w:val="center"/>
            <w:shd w:fill="F3EFE8"/>
            <w:tcBorders>
              <w:bottom w:val="single" w:sz="4" w:color="D6CEC3"/>
            </w:tcBorders>
          </w:tcPr>
          <w:p>
            <w:pPr>
              <w:spacing w:before="100" w:after="100" w:line="247" w:lineRule="auto"/>
            </w:pPr>
            <w:r>
              <w:rPr>
                <w:rFonts w:ascii="Arial" w:hAnsi="Arial"/>
                <w:b w:val="0"/>
                <w:color w:val="000000"/>
                <w:sz w:val="20"/>
              </w:rPr>
              <w:t>Building finishes 50m2</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65</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100</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155</w:t>
            </w:r>
          </w:p>
        </w:tc>
      </w:tr>
      <w:tr>
        <w:trPr>
          <w:cantSplit/>
        </w:trPr>
        <w:tc>
          <w:tcPr>
            <w:tcW w:type="dxa" w:w="5112"/>
            <w:vAlign w:val="center"/>
            <w:shd w:fill="FFFFFF"/>
            <w:tcBorders>
              <w:bottom w:val="single" w:sz="4" w:color="D6CEC3"/>
            </w:tcBorders>
          </w:tcPr>
          <w:p>
            <w:pPr>
              <w:spacing w:before="100" w:after="100" w:line="247" w:lineRule="auto"/>
            </w:pPr>
            <w:r>
              <w:rPr>
                <w:rFonts w:ascii="Arial" w:hAnsi="Arial"/>
                <w:b w:val="0"/>
                <w:color w:val="000000"/>
                <w:sz w:val="20"/>
              </w:rPr>
              <w:t>Counter and fitted joinery</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55</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85</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125</w:t>
            </w:r>
          </w:p>
        </w:tc>
      </w:tr>
      <w:tr>
        <w:trPr>
          <w:cantSplit/>
        </w:trPr>
        <w:tc>
          <w:tcPr>
            <w:tcW w:type="dxa" w:w="5112"/>
            <w:vAlign w:val="center"/>
            <w:shd w:fill="F3EFE8"/>
            <w:tcBorders>
              <w:bottom w:val="single" w:sz="4" w:color="D6CEC3"/>
            </w:tcBorders>
          </w:tcPr>
          <w:p>
            <w:pPr>
              <w:spacing w:before="100" w:after="100" w:line="247" w:lineRule="auto"/>
            </w:pPr>
            <w:r>
              <w:rPr>
                <w:rFonts w:ascii="Arial" w:hAnsi="Arial"/>
                <w:b w:val="0"/>
                <w:color w:val="000000"/>
                <w:sz w:val="20"/>
              </w:rPr>
              <w:t>Plumbing sinks hot water</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20</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30</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50</w:t>
            </w:r>
          </w:p>
        </w:tc>
      </w:tr>
      <w:tr>
        <w:trPr>
          <w:cantSplit/>
        </w:trPr>
        <w:tc>
          <w:tcPr>
            <w:tcW w:type="dxa" w:w="5112"/>
            <w:vAlign w:val="center"/>
            <w:shd w:fill="FFFFFF"/>
            <w:tcBorders>
              <w:bottom w:val="single" w:sz="4" w:color="D6CEC3"/>
            </w:tcBorders>
          </w:tcPr>
          <w:p>
            <w:pPr>
              <w:spacing w:before="100" w:after="100" w:line="247" w:lineRule="auto"/>
            </w:pPr>
            <w:r>
              <w:rPr>
                <w:rFonts w:ascii="Arial" w:hAnsi="Arial"/>
                <w:b w:val="0"/>
                <w:color w:val="000000"/>
                <w:sz w:val="20"/>
              </w:rPr>
              <w:t>Electrical and lighting</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20</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35</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55</w:t>
            </w:r>
          </w:p>
        </w:tc>
      </w:tr>
      <w:tr>
        <w:trPr>
          <w:cantSplit/>
        </w:trPr>
        <w:tc>
          <w:tcPr>
            <w:tcW w:type="dxa" w:w="5112"/>
            <w:vAlign w:val="center"/>
            <w:shd w:fill="F3EFE8"/>
            <w:tcBorders>
              <w:bottom w:val="single" w:sz="4" w:color="D6CEC3"/>
            </w:tcBorders>
          </w:tcPr>
          <w:p>
            <w:pPr>
              <w:spacing w:before="100" w:after="100" w:line="247" w:lineRule="auto"/>
            </w:pPr>
            <w:r>
              <w:rPr>
                <w:rFonts w:ascii="Arial" w:hAnsi="Arial"/>
                <w:b w:val="0"/>
                <w:color w:val="000000"/>
                <w:sz w:val="20"/>
              </w:rPr>
              <w:t>Furniture 14 seats and tables</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30</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45</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70</w:t>
            </w:r>
          </w:p>
        </w:tc>
      </w:tr>
      <w:tr>
        <w:trPr>
          <w:cantSplit/>
        </w:trPr>
        <w:tc>
          <w:tcPr>
            <w:tcW w:type="dxa" w:w="5112"/>
            <w:vAlign w:val="center"/>
            <w:shd w:fill="FFFFFF"/>
            <w:tcBorders>
              <w:bottom w:val="single" w:sz="4" w:color="D6CEC3"/>
            </w:tcBorders>
          </w:tcPr>
          <w:p>
            <w:pPr>
              <w:spacing w:before="100" w:after="100" w:line="247" w:lineRule="auto"/>
            </w:pPr>
            <w:r>
              <w:rPr>
                <w:rFonts w:ascii="Arial" w:hAnsi="Arial"/>
                <w:b w:val="0"/>
                <w:color w:val="000000"/>
                <w:sz w:val="20"/>
              </w:rPr>
              <w:t>Signage and menu boards</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10</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18</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28</w:t>
            </w:r>
          </w:p>
        </w:tc>
      </w:tr>
      <w:tr>
        <w:trPr>
          <w:cantSplit/>
        </w:trPr>
        <w:tc>
          <w:tcPr>
            <w:tcW w:type="dxa" w:w="5112"/>
            <w:vAlign w:val="center"/>
            <w:shd w:fill="F3EFE8"/>
            <w:tcBorders>
              <w:bottom w:val="single" w:sz="4" w:color="D6CEC3"/>
            </w:tcBorders>
          </w:tcPr>
          <w:p>
            <w:pPr>
              <w:spacing w:before="100" w:after="100" w:line="247" w:lineRule="auto"/>
            </w:pPr>
            <w:r>
              <w:rPr>
                <w:rFonts w:ascii="Arial" w:hAnsi="Arial"/>
                <w:b w:val="0"/>
                <w:color w:val="000000"/>
                <w:sz w:val="20"/>
              </w:rPr>
              <w:t>Ventilation and cooling</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12</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20</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32</w:t>
            </w:r>
          </w:p>
        </w:tc>
      </w:tr>
      <w:tr>
        <w:trPr>
          <w:cantSplit/>
        </w:trPr>
        <w:tc>
          <w:tcPr>
            <w:tcW w:type="dxa" w:w="5112"/>
            <w:vAlign w:val="center"/>
            <w:shd w:fill="FFFFFF"/>
            <w:tcBorders>
              <w:bottom w:val="single" w:sz="4" w:color="D6CEC3"/>
            </w:tcBorders>
          </w:tcPr>
          <w:p>
            <w:pPr>
              <w:spacing w:before="100" w:after="100" w:line="247" w:lineRule="auto"/>
            </w:pPr>
            <w:r>
              <w:rPr>
                <w:rFonts w:ascii="Arial" w:hAnsi="Arial"/>
                <w:b w:val="0"/>
                <w:color w:val="000000"/>
                <w:sz w:val="20"/>
              </w:rPr>
              <w:t>Backup inverter and battery installed</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65</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90</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125</w:t>
            </w:r>
          </w:p>
        </w:tc>
      </w:tr>
      <w:tr>
        <w:trPr>
          <w:cantSplit/>
        </w:trPr>
        <w:tc>
          <w:tcPr>
            <w:tcW w:type="dxa" w:w="5112"/>
            <w:vAlign w:val="center"/>
            <w:shd w:fill="F3EFE8"/>
            <w:tcBorders>
              <w:bottom w:val="single" w:sz="4" w:color="D6CEC3"/>
            </w:tcBorders>
          </w:tcPr>
          <w:p>
            <w:pPr>
              <w:spacing w:before="100" w:after="100" w:line="247" w:lineRule="auto"/>
            </w:pPr>
            <w:r>
              <w:rPr>
                <w:rFonts w:ascii="Arial" w:hAnsi="Arial"/>
                <w:b w:val="0"/>
                <w:color w:val="000000"/>
                <w:sz w:val="20"/>
              </w:rPr>
              <w:t>Security Wi-Fi and network</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6</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10</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16</w:t>
            </w:r>
          </w:p>
        </w:tc>
      </w:tr>
      <w:tr>
        <w:trPr>
          <w:cantSplit/>
        </w:trPr>
        <w:tc>
          <w:tcPr>
            <w:tcW w:type="dxa" w:w="5112"/>
            <w:vAlign w:val="center"/>
            <w:shd w:fill="FFFFFF"/>
            <w:tcBorders>
              <w:bottom w:val="single" w:sz="4" w:color="D6CEC3"/>
            </w:tcBorders>
          </w:tcPr>
          <w:p>
            <w:pPr>
              <w:spacing w:before="100" w:after="100" w:line="247" w:lineRule="auto"/>
            </w:pPr>
            <w:r>
              <w:rPr>
                <w:rFonts w:ascii="Arial" w:hAnsi="Arial"/>
                <w:b w:val="0"/>
                <w:color w:val="000000"/>
                <w:sz w:val="20"/>
              </w:rPr>
              <w:t>Contingency, 15%</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66</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96</w:t>
            </w:r>
          </w:p>
        </w:tc>
        <w:tc>
          <w:tcPr>
            <w:tcW w:type="dxa" w:w="1656"/>
            <w:vAlign w:val="center"/>
            <w:shd w:fill="FFFFFF"/>
            <w:tcBorders>
              <w:bottom w:val="single" w:sz="4" w:color="D6CEC3"/>
            </w:tcBorders>
          </w:tcPr>
          <w:p>
            <w:pPr>
              <w:spacing w:before="100" w:after="100" w:line="247" w:lineRule="auto"/>
            </w:pPr>
            <w:r>
              <w:rPr>
                <w:rFonts w:ascii="Arial" w:hAnsi="Arial"/>
                <w:b w:val="0"/>
                <w:color w:val="000000"/>
                <w:sz w:val="20"/>
              </w:rPr>
              <w:t>144</w:t>
            </w:r>
          </w:p>
        </w:tc>
      </w:tr>
      <w:tr>
        <w:trPr>
          <w:cantSplit/>
        </w:trPr>
        <w:tc>
          <w:tcPr>
            <w:tcW w:type="dxa" w:w="5112"/>
            <w:vAlign w:val="center"/>
            <w:shd w:fill="F3EFE8"/>
            <w:tcBorders>
              <w:bottom w:val="single" w:sz="4" w:color="D6CEC3"/>
            </w:tcBorders>
          </w:tcPr>
          <w:p>
            <w:pPr>
              <w:spacing w:before="100" w:after="100" w:line="247" w:lineRule="auto"/>
            </w:pPr>
            <w:r>
              <w:rPr>
                <w:rFonts w:ascii="Arial" w:hAnsi="Arial"/>
                <w:b w:val="0"/>
                <w:color w:val="000000"/>
                <w:sz w:val="20"/>
              </w:rPr>
              <w:t>Total capital expenditure</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506</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734</w:t>
            </w:r>
          </w:p>
        </w:tc>
        <w:tc>
          <w:tcPr>
            <w:tcW w:type="dxa" w:w="1656"/>
            <w:vAlign w:val="center"/>
            <w:shd w:fill="F3EFE8"/>
            <w:tcBorders>
              <w:bottom w:val="single" w:sz="4" w:color="D6CEC3"/>
            </w:tcBorders>
          </w:tcPr>
          <w:p>
            <w:pPr>
              <w:spacing w:before="100" w:after="100" w:line="247" w:lineRule="auto"/>
            </w:pPr>
            <w:r>
              <w:rPr>
                <w:rFonts w:ascii="Arial" w:hAnsi="Arial"/>
                <w:b w:val="0"/>
                <w:color w:val="000000"/>
                <w:sz w:val="20"/>
              </w:rPr>
              <w:t>1,103</w:t>
            </w:r>
          </w:p>
        </w:tc>
      </w:tr>
    </w:tbl>
    <w:p/>
    <w:p>
      <w:r>
        <w:t>Amounts above are R000. Most lines are estimating allowances; they are not measured quantities or signed quotations. The machine/grinder base references a published new-equipment bundle. The low and high totals vary capital lines only; they are not probabilities. Excluded work that becomes necessary, such as bathrooms or major building upgrades, must be added.</w:t>
      </w:r>
    </w:p>
    <w:p>
      <w:r>
        <w:t>Add R103,000 pre-opening expenditure, R40,000 refundable deposit, R15,000 opening stock and R200,000 cash reserve. Total initial funding is R864,017 / R1,091,740 / R1,460,965. The base contingency is treated as spent capital, so it is not also counted as spare cash.</w:t>
      </w:r>
    </w:p>
    <w:p>
      <w:pPr>
        <w:pStyle w:val="Caption"/>
      </w:pPr>
      <w:r>
        <w:t>Capital and funding source: Excel Startup. Equipment benchmark [S7]. Base includes new espresso machine and grinder, decaf grinder, cold storage, ice maker, pastry oven, POS, finishes, services and backup power. No kitchen.</w:t>
      </w:r>
    </w:p>
    <w:p>
      <w:pPr>
        <w:pStyle w:val="Caption"/>
        <w:pageBreakBefore/>
      </w:pPr>
      <w:r>
        <w:t>09  /  COWBOY CAFE</w:t>
      </w:r>
    </w:p>
    <w:p>
      <w:pPr>
        <w:pStyle w:val="Heading1"/>
      </w:pPr>
      <w:r>
        <w:t>Premises, rent and operating expenses</w:t>
      </w:r>
    </w:p>
    <w:p>
      <w:r>
        <w:t>Use R20,000 monthly base rent excluding VAT, plus R2,000 common charges/rates. A public central Stellenbosch 48 m² retail listing at R25,920 excluding VAT illustrates the risk at the upper end. Its suitability and availability are not established. R16,000 is a negotiating sensitivity, not a verified comparable quote.</w:t>
      </w:r>
    </w:p>
    <w:tbl>
      <w:tblPr>
        <w:tblW w:type="auto" w:w="0"/>
        <w:jc w:val="center"/>
        <w:tblLayout w:type="fixed"/>
        <w:tblLook w:firstColumn="1" w:firstRow="1" w:lastColumn="0" w:lastRow="0" w:noHBand="0" w:noVBand="1" w:val="04A0"/>
      </w:tblPr>
      <w:tblGrid>
        <w:gridCol w:w="7848"/>
        <w:gridCol w:w="2232"/>
      </w:tblGrid>
      <w:tr>
        <w:trPr>
          <w:cantSplit/>
          <w:tblHeader/>
        </w:trPr>
        <w:tc>
          <w:tcPr>
            <w:tcW w:type="dxa" w:w="7848"/>
            <w:vAlign w:val="center"/>
            <w:shd w:fill="29251F"/>
            <w:tcBorders>
              <w:bottom w:val="single" w:sz="4" w:color="D6CEC3"/>
            </w:tcBorders>
          </w:tcPr>
          <w:p>
            <w:pPr>
              <w:spacing w:before="100" w:after="100" w:line="247" w:lineRule="auto"/>
            </w:pPr>
            <w:r>
              <w:rPr>
                <w:rFonts w:ascii="Arial" w:hAnsi="Arial"/>
                <w:b/>
                <w:color w:val="FFFFFF"/>
                <w:sz w:val="20"/>
              </w:rPr>
              <w:t>Monthly fixed costs, net of recoverable VAT</w:t>
            </w:r>
          </w:p>
        </w:tc>
        <w:tc>
          <w:tcPr>
            <w:tcW w:type="dxa" w:w="2232"/>
            <w:vAlign w:val="center"/>
            <w:shd w:fill="29251F"/>
            <w:tcBorders>
              <w:bottom w:val="single" w:sz="4" w:color="D6CEC3"/>
            </w:tcBorders>
          </w:tcPr>
          <w:p>
            <w:pPr>
              <w:spacing w:before="100" w:after="100" w:line="247" w:lineRule="auto"/>
            </w:pPr>
            <w:r>
              <w:rPr>
                <w:rFonts w:ascii="Arial" w:hAnsi="Arial"/>
                <w:b/>
                <w:color w:val="FFFFFF"/>
                <w:sz w:val="20"/>
              </w:rPr>
              <w:t>Rand</w:t>
            </w:r>
          </w:p>
        </w:tc>
      </w:tr>
      <w:tr>
        <w:trPr>
          <w:cantSplit/>
        </w:trPr>
        <w:tc>
          <w:tcPr>
            <w:tcW w:type="dxa" w:w="7848"/>
            <w:vAlign w:val="center"/>
            <w:shd w:fill="F3EFE8"/>
            <w:tcBorders>
              <w:bottom w:val="single" w:sz="4" w:color="D6CEC3"/>
            </w:tcBorders>
          </w:tcPr>
          <w:p>
            <w:pPr>
              <w:spacing w:before="100" w:after="100" w:line="247" w:lineRule="auto"/>
            </w:pPr>
            <w:r>
              <w:rPr>
                <w:rFonts w:ascii="Arial" w:hAnsi="Arial"/>
                <w:b w:val="0"/>
                <w:color w:val="000000"/>
                <w:sz w:val="20"/>
              </w:rPr>
              <w:t>Rent and common charges</w:t>
            </w:r>
          </w:p>
        </w:tc>
        <w:tc>
          <w:tcPr>
            <w:tcW w:type="dxa" w:w="2232"/>
            <w:vAlign w:val="center"/>
            <w:shd w:fill="F3EFE8"/>
            <w:tcBorders>
              <w:bottom w:val="single" w:sz="4" w:color="D6CEC3"/>
            </w:tcBorders>
          </w:tcPr>
          <w:p>
            <w:pPr>
              <w:spacing w:before="100" w:after="100" w:line="247" w:lineRule="auto"/>
            </w:pPr>
            <w:r>
              <w:rPr>
                <w:rFonts w:ascii="Arial" w:hAnsi="Arial"/>
                <w:b w:val="0"/>
                <w:color w:val="000000"/>
                <w:sz w:val="20"/>
              </w:rPr>
              <w:t>22,000</w:t>
            </w:r>
          </w:p>
        </w:tc>
      </w:tr>
      <w:tr>
        <w:trPr>
          <w:cantSplit/>
        </w:trPr>
        <w:tc>
          <w:tcPr>
            <w:tcW w:type="dxa" w:w="7848"/>
            <w:vAlign w:val="center"/>
            <w:shd w:fill="FFFFFF"/>
            <w:tcBorders>
              <w:bottom w:val="single" w:sz="4" w:color="D6CEC3"/>
            </w:tcBorders>
          </w:tcPr>
          <w:p>
            <w:pPr>
              <w:spacing w:before="100" w:after="100" w:line="247" w:lineRule="auto"/>
            </w:pPr>
            <w:r>
              <w:rPr>
                <w:rFonts w:ascii="Arial" w:hAnsi="Arial"/>
                <w:b w:val="0"/>
                <w:color w:val="000000"/>
                <w:sz w:val="20"/>
              </w:rPr>
              <w:t>Payroll including provisions</w:t>
            </w:r>
          </w:p>
        </w:tc>
        <w:tc>
          <w:tcPr>
            <w:tcW w:type="dxa" w:w="2232"/>
            <w:vAlign w:val="center"/>
            <w:shd w:fill="FFFFFF"/>
            <w:tcBorders>
              <w:bottom w:val="single" w:sz="4" w:color="D6CEC3"/>
            </w:tcBorders>
          </w:tcPr>
          <w:p>
            <w:pPr>
              <w:spacing w:before="100" w:after="100" w:line="247" w:lineRule="auto"/>
            </w:pPr>
            <w:r>
              <w:rPr>
                <w:rFonts w:ascii="Arial" w:hAnsi="Arial"/>
                <w:b w:val="0"/>
                <w:color w:val="000000"/>
                <w:sz w:val="20"/>
              </w:rPr>
              <w:t>34,461</w:t>
            </w:r>
          </w:p>
        </w:tc>
      </w:tr>
      <w:tr>
        <w:trPr>
          <w:cantSplit/>
        </w:trPr>
        <w:tc>
          <w:tcPr>
            <w:tcW w:type="dxa" w:w="7848"/>
            <w:vAlign w:val="center"/>
            <w:shd w:fill="F3EFE8"/>
            <w:tcBorders>
              <w:bottom w:val="single" w:sz="4" w:color="D6CEC3"/>
            </w:tcBorders>
          </w:tcPr>
          <w:p>
            <w:pPr>
              <w:spacing w:before="100" w:after="100" w:line="247" w:lineRule="auto"/>
            </w:pPr>
            <w:r>
              <w:rPr>
                <w:rFonts w:ascii="Arial" w:hAnsi="Arial"/>
                <w:b w:val="0"/>
                <w:color w:val="000000"/>
                <w:sz w:val="20"/>
              </w:rPr>
              <w:t>Electricity and water</w:t>
            </w:r>
          </w:p>
        </w:tc>
        <w:tc>
          <w:tcPr>
            <w:tcW w:type="dxa" w:w="2232"/>
            <w:vAlign w:val="center"/>
            <w:shd w:fill="F3EFE8"/>
            <w:tcBorders>
              <w:bottom w:val="single" w:sz="4" w:color="D6CEC3"/>
            </w:tcBorders>
          </w:tcPr>
          <w:p>
            <w:pPr>
              <w:spacing w:before="100" w:after="100" w:line="247" w:lineRule="auto"/>
            </w:pPr>
            <w:r>
              <w:rPr>
                <w:rFonts w:ascii="Arial" w:hAnsi="Arial"/>
                <w:b w:val="0"/>
                <w:color w:val="000000"/>
                <w:sz w:val="20"/>
              </w:rPr>
              <w:t>5,652</w:t>
            </w:r>
          </w:p>
        </w:tc>
      </w:tr>
      <w:tr>
        <w:trPr>
          <w:cantSplit/>
        </w:trPr>
        <w:tc>
          <w:tcPr>
            <w:tcW w:type="dxa" w:w="7848"/>
            <w:vAlign w:val="center"/>
            <w:shd w:fill="FFFFFF"/>
            <w:tcBorders>
              <w:bottom w:val="single" w:sz="4" w:color="D6CEC3"/>
            </w:tcBorders>
          </w:tcPr>
          <w:p>
            <w:pPr>
              <w:spacing w:before="100" w:after="100" w:line="247" w:lineRule="auto"/>
            </w:pPr>
            <w:r>
              <w:rPr>
                <w:rFonts w:ascii="Arial" w:hAnsi="Arial"/>
                <w:b w:val="0"/>
                <w:color w:val="000000"/>
                <w:sz w:val="20"/>
              </w:rPr>
              <w:t>Insurance and internet</w:t>
            </w:r>
          </w:p>
        </w:tc>
        <w:tc>
          <w:tcPr>
            <w:tcW w:type="dxa" w:w="2232"/>
            <w:vAlign w:val="center"/>
            <w:shd w:fill="FFFFFF"/>
            <w:tcBorders>
              <w:bottom w:val="single" w:sz="4" w:color="D6CEC3"/>
            </w:tcBorders>
          </w:tcPr>
          <w:p>
            <w:pPr>
              <w:spacing w:before="100" w:after="100" w:line="247" w:lineRule="auto"/>
            </w:pPr>
            <w:r>
              <w:rPr>
                <w:rFonts w:ascii="Arial" w:hAnsi="Arial"/>
                <w:b w:val="0"/>
                <w:color w:val="000000"/>
                <w:sz w:val="20"/>
              </w:rPr>
              <w:t>2,087</w:t>
            </w:r>
          </w:p>
        </w:tc>
      </w:tr>
      <w:tr>
        <w:trPr>
          <w:cantSplit/>
        </w:trPr>
        <w:tc>
          <w:tcPr>
            <w:tcW w:type="dxa" w:w="7848"/>
            <w:vAlign w:val="center"/>
            <w:shd w:fill="F3EFE8"/>
            <w:tcBorders>
              <w:bottom w:val="single" w:sz="4" w:color="D6CEC3"/>
            </w:tcBorders>
          </w:tcPr>
          <w:p>
            <w:pPr>
              <w:spacing w:before="100" w:after="100" w:line="247" w:lineRule="auto"/>
            </w:pPr>
            <w:r>
              <w:rPr>
                <w:rFonts w:ascii="Arial" w:hAnsi="Arial"/>
                <w:b w:val="0"/>
                <w:color w:val="000000"/>
                <w:sz w:val="20"/>
              </w:rPr>
              <w:t>Xero, payroll software and POS plan</w:t>
            </w:r>
          </w:p>
        </w:tc>
        <w:tc>
          <w:tcPr>
            <w:tcW w:type="dxa" w:w="2232"/>
            <w:vAlign w:val="center"/>
            <w:shd w:fill="F3EFE8"/>
            <w:tcBorders>
              <w:bottom w:val="single" w:sz="4" w:color="D6CEC3"/>
            </w:tcBorders>
          </w:tcPr>
          <w:p>
            <w:pPr>
              <w:spacing w:before="100" w:after="100" w:line="247" w:lineRule="auto"/>
            </w:pPr>
            <w:r>
              <w:rPr>
                <w:rFonts w:ascii="Arial" w:hAnsi="Arial"/>
                <w:b w:val="0"/>
                <w:color w:val="000000"/>
                <w:sz w:val="20"/>
              </w:rPr>
              <w:t>1,587</w:t>
            </w:r>
          </w:p>
        </w:tc>
      </w:tr>
      <w:tr>
        <w:trPr>
          <w:cantSplit/>
        </w:trPr>
        <w:tc>
          <w:tcPr>
            <w:tcW w:type="dxa" w:w="7848"/>
            <w:vAlign w:val="center"/>
            <w:shd w:fill="FFFFFF"/>
            <w:tcBorders>
              <w:bottom w:val="single" w:sz="4" w:color="D6CEC3"/>
            </w:tcBorders>
          </w:tcPr>
          <w:p>
            <w:pPr>
              <w:spacing w:before="100" w:after="100" w:line="247" w:lineRule="auto"/>
            </w:pPr>
            <w:r>
              <w:rPr>
                <w:rFonts w:ascii="Arial" w:hAnsi="Arial"/>
                <w:b w:val="0"/>
                <w:color w:val="000000"/>
                <w:sz w:val="20"/>
              </w:rPr>
              <w:t>Marketing</w:t>
            </w:r>
          </w:p>
        </w:tc>
        <w:tc>
          <w:tcPr>
            <w:tcW w:type="dxa" w:w="2232"/>
            <w:vAlign w:val="center"/>
            <w:shd w:fill="FFFFFF"/>
            <w:tcBorders>
              <w:bottom w:val="single" w:sz="4" w:color="D6CEC3"/>
            </w:tcBorders>
          </w:tcPr>
          <w:p>
            <w:pPr>
              <w:spacing w:before="100" w:after="100" w:line="247" w:lineRule="auto"/>
            </w:pPr>
            <w:r>
              <w:rPr>
                <w:rFonts w:ascii="Arial" w:hAnsi="Arial"/>
                <w:b w:val="0"/>
                <w:color w:val="000000"/>
                <w:sz w:val="20"/>
              </w:rPr>
              <w:t>2,174</w:t>
            </w:r>
          </w:p>
        </w:tc>
      </w:tr>
      <w:tr>
        <w:trPr>
          <w:cantSplit/>
        </w:trPr>
        <w:tc>
          <w:tcPr>
            <w:tcW w:type="dxa" w:w="7848"/>
            <w:vAlign w:val="center"/>
            <w:shd w:fill="F3EFE8"/>
            <w:tcBorders>
              <w:bottom w:val="single" w:sz="4" w:color="D6CEC3"/>
            </w:tcBorders>
          </w:tcPr>
          <w:p>
            <w:pPr>
              <w:spacing w:before="100" w:after="100" w:line="247" w:lineRule="auto"/>
            </w:pPr>
            <w:r>
              <w:rPr>
                <w:rFonts w:ascii="Arial" w:hAnsi="Arial"/>
                <w:b w:val="0"/>
                <w:color w:val="000000"/>
                <w:sz w:val="20"/>
              </w:rPr>
              <w:t>Cleaning, pest control, waste and repairs</w:t>
            </w:r>
          </w:p>
        </w:tc>
        <w:tc>
          <w:tcPr>
            <w:tcW w:type="dxa" w:w="2232"/>
            <w:vAlign w:val="center"/>
            <w:shd w:fill="F3EFE8"/>
            <w:tcBorders>
              <w:bottom w:val="single" w:sz="4" w:color="D6CEC3"/>
            </w:tcBorders>
          </w:tcPr>
          <w:p>
            <w:pPr>
              <w:spacing w:before="100" w:after="100" w:line="247" w:lineRule="auto"/>
            </w:pPr>
            <w:r>
              <w:rPr>
                <w:rFonts w:ascii="Arial" w:hAnsi="Arial"/>
                <w:b w:val="0"/>
                <w:color w:val="000000"/>
                <w:sz w:val="20"/>
              </w:rPr>
              <w:t>3,304</w:t>
            </w:r>
          </w:p>
        </w:tc>
      </w:tr>
      <w:tr>
        <w:trPr>
          <w:cantSplit/>
        </w:trPr>
        <w:tc>
          <w:tcPr>
            <w:tcW w:type="dxa" w:w="7848"/>
            <w:vAlign w:val="center"/>
            <w:shd w:fill="FFFFFF"/>
            <w:tcBorders>
              <w:bottom w:val="single" w:sz="4" w:color="D6CEC3"/>
            </w:tcBorders>
          </w:tcPr>
          <w:p>
            <w:pPr>
              <w:spacing w:before="100" w:after="100" w:line="247" w:lineRule="auto"/>
            </w:pPr>
            <w:r>
              <w:rPr>
                <w:rFonts w:ascii="Arial" w:hAnsi="Arial"/>
                <w:b w:val="0"/>
                <w:color w:val="000000"/>
                <w:sz w:val="20"/>
              </w:rPr>
              <w:t>Banking, compliance and miscellaneous</w:t>
            </w:r>
          </w:p>
        </w:tc>
        <w:tc>
          <w:tcPr>
            <w:tcW w:type="dxa" w:w="2232"/>
            <w:vAlign w:val="center"/>
            <w:shd w:fill="FFFFFF"/>
            <w:tcBorders>
              <w:bottom w:val="single" w:sz="4" w:color="D6CEC3"/>
            </w:tcBorders>
          </w:tcPr>
          <w:p>
            <w:pPr>
              <w:spacing w:before="100" w:after="100" w:line="247" w:lineRule="auto"/>
            </w:pPr>
            <w:r>
              <w:rPr>
                <w:rFonts w:ascii="Arial" w:hAnsi="Arial"/>
                <w:b w:val="0"/>
                <w:color w:val="000000"/>
                <w:sz w:val="20"/>
              </w:rPr>
              <w:t>2,250</w:t>
            </w:r>
          </w:p>
        </w:tc>
      </w:tr>
      <w:tr>
        <w:trPr>
          <w:cantSplit/>
        </w:trPr>
        <w:tc>
          <w:tcPr>
            <w:tcW w:type="dxa" w:w="7848"/>
            <w:vAlign w:val="center"/>
            <w:shd w:fill="F3EFE8"/>
            <w:tcBorders>
              <w:bottom w:val="single" w:sz="4" w:color="D6CEC3"/>
            </w:tcBorders>
          </w:tcPr>
          <w:p>
            <w:pPr>
              <w:spacing w:before="100" w:after="100" w:line="247" w:lineRule="auto"/>
            </w:pPr>
            <w:r>
              <w:rPr>
                <w:rFonts w:ascii="Arial" w:hAnsi="Arial"/>
                <w:b w:val="0"/>
                <w:color w:val="000000"/>
                <w:sz w:val="20"/>
              </w:rPr>
              <w:t>Total fixed operating expenses</w:t>
            </w:r>
          </w:p>
        </w:tc>
        <w:tc>
          <w:tcPr>
            <w:tcW w:type="dxa" w:w="2232"/>
            <w:vAlign w:val="center"/>
            <w:shd w:fill="F3EFE8"/>
            <w:tcBorders>
              <w:bottom w:val="single" w:sz="4" w:color="D6CEC3"/>
            </w:tcBorders>
          </w:tcPr>
          <w:p>
            <w:pPr>
              <w:spacing w:before="100" w:after="100" w:line="247" w:lineRule="auto"/>
            </w:pPr>
            <w:r>
              <w:rPr>
                <w:rFonts w:ascii="Arial" w:hAnsi="Arial"/>
                <w:b w:val="0"/>
                <w:color w:val="000000"/>
                <w:sz w:val="20"/>
              </w:rPr>
              <w:t>73,515</w:t>
            </w:r>
          </w:p>
        </w:tc>
      </w:tr>
    </w:tbl>
    <w:p/>
    <w:p>
      <w:r>
        <w:t>Card fees are additional variable operating expenses: 95% card share at a 2.3% fee excluding VAT. Total Year 1 operating expenses are R933,287 in the expected case, including about R51,109 card fees. GP is reported before these expenses. Replacement capex of R1,000 gross per month is separate from routine repairs and is included in cash flow.</w:t>
      </w:r>
    </w:p>
    <w:p>
      <w:pPr>
        <w:pStyle w:val="Heading2"/>
      </w:pPr>
      <w:r>
        <w:t>Lease and power conditions</w:t>
      </w:r>
    </w:p>
    <w:p>
      <w:r>
        <w:t>Confirm food use, signage, deliveries, utilities, electrical capacity, reinstatement obligations, escalation, deposit and beneficial occupation. The model allows two months of fit-out rent and 8% annual rent escalation. Seek written bathroom access for the full lease term, including the café’s independent opening hours.</w:t>
      </w:r>
    </w:p>
    <w:p>
      <w:r>
        <w:t>Backup power is allowed at R90,000 installed. An indicative 3 kW average critical load for two hours needs about 8.33 kWh nominal storage at 80% usable depth and 90% efficiency. The proposed roughly 10 kWh/8 kW system is an engineering brief, not a confirmed specification. Verify machine peaks and shed oven/cooling loads during outages.</w:t>
      </w:r>
    </w:p>
    <w:p>
      <w:pPr>
        <w:pStyle w:val="Caption"/>
      </w:pPr>
      <w:r>
        <w:t>References [S5], [S8], [S13]. Utility, insurance, software and installation costs remain allowances. Rounding may cause R1 differences in table totals.</w:t>
      </w:r>
    </w:p>
    <w:p>
      <w:pPr>
        <w:pStyle w:val="Caption"/>
        <w:pageBreakBefore/>
      </w:pPr>
      <w:r>
        <w:t>10  /  COWBOY CAFE</w:t>
      </w:r>
    </w:p>
    <w:p>
      <w:pPr>
        <w:pStyle w:val="Heading1"/>
      </w:pPr>
      <w:r>
        <w:t>Forecast and scenario comparison</w:t>
      </w:r>
    </w:p>
    <w:p>
      <w:r>
        <w:t>All cases share the same fit-out, three-person payroll and initial financing structure. They vary daily volume, pastry attachment, ramp and later volume growth. This isolates demand uncertainty; it does not mean costs will stay fixed indefinitely at high throughput.</w:t>
      </w:r>
    </w:p>
    <w:tbl>
      <w:tblPr>
        <w:tblW w:type="auto" w:w="0"/>
        <w:jc w:val="center"/>
        <w:tblLayout w:type="fixed"/>
        <w:tblLook w:firstColumn="1" w:firstRow="1" w:lastColumn="0" w:lastRow="0" w:noHBand="0" w:noVBand="1" w:val="04A0"/>
      </w:tblPr>
      <w:tblGrid>
        <w:gridCol w:w="3816"/>
        <w:gridCol w:w="2088"/>
        <w:gridCol w:w="2088"/>
        <w:gridCol w:w="2088"/>
      </w:tblGrid>
      <w:tr>
        <w:trPr>
          <w:cantSplit/>
          <w:tblHeader/>
        </w:trPr>
        <w:tc>
          <w:tcPr>
            <w:tcW w:type="dxa" w:w="3816"/>
            <w:vAlign w:val="center"/>
            <w:shd w:fill="29251F"/>
            <w:tcBorders>
              <w:bottom w:val="single" w:sz="4" w:color="D6CEC3"/>
            </w:tcBorders>
          </w:tcPr>
          <w:p>
            <w:pPr>
              <w:spacing w:before="100" w:after="100" w:line="247" w:lineRule="auto"/>
            </w:pPr>
            <w:r>
              <w:rPr>
                <w:rFonts w:ascii="Arial" w:hAnsi="Arial"/>
                <w:b/>
                <w:color w:val="FFFFFF"/>
                <w:sz w:val="20"/>
              </w:rPr>
              <w:t>Year 1 measure</w:t>
            </w:r>
          </w:p>
        </w:tc>
        <w:tc>
          <w:tcPr>
            <w:tcW w:type="dxa" w:w="2088"/>
            <w:vAlign w:val="center"/>
            <w:shd w:fill="29251F"/>
            <w:tcBorders>
              <w:bottom w:val="single" w:sz="4" w:color="D6CEC3"/>
            </w:tcBorders>
          </w:tcPr>
          <w:p>
            <w:pPr>
              <w:spacing w:before="100" w:after="100" w:line="247" w:lineRule="auto"/>
            </w:pPr>
            <w:r>
              <w:rPr>
                <w:rFonts w:ascii="Arial" w:hAnsi="Arial"/>
                <w:b/>
                <w:color w:val="FFFFFF"/>
                <w:sz w:val="20"/>
              </w:rPr>
              <w:t>Conservative</w:t>
            </w:r>
          </w:p>
        </w:tc>
        <w:tc>
          <w:tcPr>
            <w:tcW w:type="dxa" w:w="2088"/>
            <w:vAlign w:val="center"/>
            <w:shd w:fill="29251F"/>
            <w:tcBorders>
              <w:bottom w:val="single" w:sz="4" w:color="D6CEC3"/>
            </w:tcBorders>
          </w:tcPr>
          <w:p>
            <w:pPr>
              <w:spacing w:before="100" w:after="100" w:line="247" w:lineRule="auto"/>
            </w:pPr>
            <w:r>
              <w:rPr>
                <w:rFonts w:ascii="Arial" w:hAnsi="Arial"/>
                <w:b/>
                <w:color w:val="FFFFFF"/>
                <w:sz w:val="20"/>
              </w:rPr>
              <w:t>Expected</w:t>
            </w:r>
          </w:p>
        </w:tc>
        <w:tc>
          <w:tcPr>
            <w:tcW w:type="dxa" w:w="2088"/>
            <w:vAlign w:val="center"/>
            <w:shd w:fill="29251F"/>
            <w:tcBorders>
              <w:bottom w:val="single" w:sz="4" w:color="D6CEC3"/>
            </w:tcBorders>
          </w:tcPr>
          <w:p>
            <w:pPr>
              <w:spacing w:before="100" w:after="100" w:line="247" w:lineRule="auto"/>
            </w:pPr>
            <w:r>
              <w:rPr>
                <w:rFonts w:ascii="Arial" w:hAnsi="Arial"/>
                <w:b/>
                <w:color w:val="FFFFFF"/>
                <w:sz w:val="20"/>
              </w:rPr>
              <w:t>Optimistic</w:t>
            </w:r>
          </w:p>
        </w:tc>
      </w:tr>
      <w:tr>
        <w:trPr>
          <w:cantSplit/>
        </w:trPr>
        <w:tc>
          <w:tcPr>
            <w:tcW w:type="dxa" w:w="3816"/>
            <w:vAlign w:val="center"/>
            <w:shd w:fill="F3EFE8"/>
            <w:tcBorders>
              <w:bottom w:val="single" w:sz="4" w:color="D6CEC3"/>
            </w:tcBorders>
          </w:tcPr>
          <w:p>
            <w:pPr>
              <w:spacing w:before="100" w:after="100" w:line="247" w:lineRule="auto"/>
            </w:pPr>
            <w:r>
              <w:rPr>
                <w:rFonts w:ascii="Arial" w:hAnsi="Arial"/>
                <w:b w:val="0"/>
                <w:color w:val="000000"/>
                <w:sz w:val="20"/>
              </w:rPr>
              <w:t>Mature transactions/day</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80</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130</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180</w:t>
            </w:r>
          </w:p>
        </w:tc>
      </w:tr>
      <w:tr>
        <w:trPr>
          <w:cantSplit/>
        </w:trPr>
        <w:tc>
          <w:tcPr>
            <w:tcW w:type="dxa" w:w="3816"/>
            <w:vAlign w:val="center"/>
            <w:shd w:fill="FFFFFF"/>
            <w:tcBorders>
              <w:bottom w:val="single" w:sz="4" w:color="D6CEC3"/>
            </w:tcBorders>
          </w:tcPr>
          <w:p>
            <w:pPr>
              <w:spacing w:before="100" w:after="100" w:line="247" w:lineRule="auto"/>
            </w:pPr>
            <w:r>
              <w:rPr>
                <w:rFonts w:ascii="Arial" w:hAnsi="Arial"/>
                <w:b w:val="0"/>
                <w:color w:val="000000"/>
                <w:sz w:val="20"/>
              </w:rPr>
              <w:t>Pastry attachment</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18%</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25%</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32%</w:t>
            </w:r>
          </w:p>
        </w:tc>
      </w:tr>
      <w:tr>
        <w:trPr>
          <w:cantSplit/>
        </w:trPr>
        <w:tc>
          <w:tcPr>
            <w:tcW w:type="dxa" w:w="3816"/>
            <w:vAlign w:val="center"/>
            <w:shd w:fill="F3EFE8"/>
            <w:tcBorders>
              <w:bottom w:val="single" w:sz="4" w:color="D6CEC3"/>
            </w:tcBorders>
          </w:tcPr>
          <w:p>
            <w:pPr>
              <w:spacing w:before="100" w:after="100" w:line="247" w:lineRule="auto"/>
            </w:pPr>
            <w:r>
              <w:rPr>
                <w:rFonts w:ascii="Arial" w:hAnsi="Arial"/>
                <w:b w:val="0"/>
                <w:color w:val="000000"/>
                <w:sz w:val="20"/>
              </w:rPr>
              <w:t>Net turnover, R000</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1,140</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2,034</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3,083</w:t>
            </w:r>
          </w:p>
        </w:tc>
      </w:tr>
      <w:tr>
        <w:trPr>
          <w:cantSplit/>
        </w:trPr>
        <w:tc>
          <w:tcPr>
            <w:tcW w:type="dxa" w:w="3816"/>
            <w:vAlign w:val="center"/>
            <w:shd w:fill="FFFFFF"/>
            <w:tcBorders>
              <w:bottom w:val="single" w:sz="4" w:color="D6CEC3"/>
            </w:tcBorders>
          </w:tcPr>
          <w:p>
            <w:pPr>
              <w:spacing w:before="100" w:after="100" w:line="247" w:lineRule="auto"/>
            </w:pPr>
            <w:r>
              <w:rPr>
                <w:rFonts w:ascii="Arial" w:hAnsi="Arial"/>
                <w:b w:val="0"/>
                <w:color w:val="000000"/>
                <w:sz w:val="20"/>
              </w:rPr>
              <w:t>Gross profit, R000</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672</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1,174</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1,746</w:t>
            </w:r>
          </w:p>
        </w:tc>
      </w:tr>
      <w:tr>
        <w:trPr>
          <w:cantSplit/>
        </w:trPr>
        <w:tc>
          <w:tcPr>
            <w:tcW w:type="dxa" w:w="3816"/>
            <w:vAlign w:val="center"/>
            <w:shd w:fill="F3EFE8"/>
            <w:tcBorders>
              <w:bottom w:val="single" w:sz="4" w:color="D6CEC3"/>
            </w:tcBorders>
          </w:tcPr>
          <w:p>
            <w:pPr>
              <w:spacing w:before="100" w:after="100" w:line="247" w:lineRule="auto"/>
            </w:pPr>
            <w:r>
              <w:rPr>
                <w:rFonts w:ascii="Arial" w:hAnsi="Arial"/>
                <w:b w:val="0"/>
                <w:color w:val="000000"/>
                <w:sz w:val="20"/>
              </w:rPr>
              <w:t>GP margin</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58.9%</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57.7%</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56.6%</w:t>
            </w:r>
          </w:p>
        </w:tc>
      </w:tr>
      <w:tr>
        <w:trPr>
          <w:cantSplit/>
        </w:trPr>
        <w:tc>
          <w:tcPr>
            <w:tcW w:type="dxa" w:w="3816"/>
            <w:vAlign w:val="center"/>
            <w:shd w:fill="FFFFFF"/>
            <w:tcBorders>
              <w:bottom w:val="single" w:sz="4" w:color="D6CEC3"/>
            </w:tcBorders>
          </w:tcPr>
          <w:p>
            <w:pPr>
              <w:spacing w:before="100" w:after="100" w:line="247" w:lineRule="auto"/>
            </w:pPr>
            <w:r>
              <w:rPr>
                <w:rFonts w:ascii="Arial" w:hAnsi="Arial"/>
                <w:b w:val="0"/>
                <w:color w:val="000000"/>
                <w:sz w:val="20"/>
              </w:rPr>
              <w:t>Operating expenses, R000</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911</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933</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960</w:t>
            </w:r>
          </w:p>
        </w:tc>
      </w:tr>
      <w:tr>
        <w:trPr>
          <w:cantSplit/>
        </w:trPr>
        <w:tc>
          <w:tcPr>
            <w:tcW w:type="dxa" w:w="3816"/>
            <w:vAlign w:val="center"/>
            <w:shd w:fill="F3EFE8"/>
            <w:tcBorders>
              <w:bottom w:val="single" w:sz="4" w:color="D6CEC3"/>
            </w:tcBorders>
          </w:tcPr>
          <w:p>
            <w:pPr>
              <w:spacing w:before="100" w:after="100" w:line="247" w:lineRule="auto"/>
            </w:pPr>
            <w:r>
              <w:rPr>
                <w:rFonts w:ascii="Arial" w:hAnsi="Arial"/>
                <w:b w:val="0"/>
                <w:color w:val="000000"/>
                <w:sz w:val="20"/>
              </w:rPr>
              <w:t>EBITDA, R000</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(239)</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241</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787</w:t>
            </w:r>
          </w:p>
        </w:tc>
      </w:tr>
      <w:tr>
        <w:trPr>
          <w:cantSplit/>
        </w:trPr>
        <w:tc>
          <w:tcPr>
            <w:tcW w:type="dxa" w:w="3816"/>
            <w:vAlign w:val="center"/>
            <w:shd w:fill="FFFFFF"/>
            <w:tcBorders>
              <w:bottom w:val="single" w:sz="4" w:color="D6CEC3"/>
            </w:tcBorders>
          </w:tcPr>
          <w:p>
            <w:pPr>
              <w:spacing w:before="100" w:after="100" w:line="247" w:lineRule="auto"/>
            </w:pPr>
            <w:r>
              <w:rPr>
                <w:rFonts w:ascii="Arial" w:hAnsi="Arial"/>
                <w:b w:val="0"/>
                <w:color w:val="000000"/>
                <w:sz w:val="20"/>
              </w:rPr>
              <w:t>Profit after tax, R000</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(452)</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31</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457</w:t>
            </w:r>
          </w:p>
        </w:tc>
      </w:tr>
    </w:tbl>
    <w:p/>
    <w:tbl>
      <w:tblPr>
        <w:tblW w:type="auto" w:w="0"/>
        <w:jc w:val="center"/>
        <w:tblLayout w:type="fixed"/>
        <w:tblLook w:firstColumn="1" w:firstRow="1" w:lastColumn="0" w:lastRow="0" w:noHBand="0" w:noVBand="1" w:val="04A0"/>
      </w:tblPr>
      <w:tblGrid>
        <w:gridCol w:w="3816"/>
        <w:gridCol w:w="2088"/>
        <w:gridCol w:w="2088"/>
        <w:gridCol w:w="2088"/>
      </w:tblGrid>
      <w:tr>
        <w:trPr>
          <w:cantSplit/>
          <w:tblHeader/>
        </w:trPr>
        <w:tc>
          <w:tcPr>
            <w:tcW w:type="dxa" w:w="3816"/>
            <w:vAlign w:val="center"/>
            <w:shd w:fill="29251F"/>
            <w:tcBorders>
              <w:bottom w:val="single" w:sz="4" w:color="D6CEC3"/>
            </w:tcBorders>
          </w:tcPr>
          <w:p>
            <w:pPr>
              <w:spacing w:before="100" w:after="100" w:line="247" w:lineRule="auto"/>
            </w:pPr>
            <w:r>
              <w:rPr>
                <w:rFonts w:ascii="Arial" w:hAnsi="Arial"/>
                <w:b/>
                <w:color w:val="FFFFFF"/>
                <w:sz w:val="20"/>
              </w:rPr>
              <w:t>Expected case, R000</w:t>
            </w:r>
          </w:p>
        </w:tc>
        <w:tc>
          <w:tcPr>
            <w:tcW w:type="dxa" w:w="2088"/>
            <w:vAlign w:val="center"/>
            <w:shd w:fill="29251F"/>
            <w:tcBorders>
              <w:bottom w:val="single" w:sz="4" w:color="D6CEC3"/>
            </w:tcBorders>
          </w:tcPr>
          <w:p>
            <w:pPr>
              <w:spacing w:before="100" w:after="100" w:line="247" w:lineRule="auto"/>
            </w:pPr>
            <w:r>
              <w:rPr>
                <w:rFonts w:ascii="Arial" w:hAnsi="Arial"/>
                <w:b/>
                <w:color w:val="FFFFFF"/>
                <w:sz w:val="20"/>
              </w:rPr>
              <w:t>2027</w:t>
            </w:r>
          </w:p>
        </w:tc>
        <w:tc>
          <w:tcPr>
            <w:tcW w:type="dxa" w:w="2088"/>
            <w:vAlign w:val="center"/>
            <w:shd w:fill="29251F"/>
            <w:tcBorders>
              <w:bottom w:val="single" w:sz="4" w:color="D6CEC3"/>
            </w:tcBorders>
          </w:tcPr>
          <w:p>
            <w:pPr>
              <w:spacing w:before="100" w:after="100" w:line="247" w:lineRule="auto"/>
            </w:pPr>
            <w:r>
              <w:rPr>
                <w:rFonts w:ascii="Arial" w:hAnsi="Arial"/>
                <w:b/>
                <w:color w:val="FFFFFF"/>
                <w:sz w:val="20"/>
              </w:rPr>
              <w:t>2028</w:t>
            </w:r>
          </w:p>
        </w:tc>
        <w:tc>
          <w:tcPr>
            <w:tcW w:type="dxa" w:w="2088"/>
            <w:vAlign w:val="center"/>
            <w:shd w:fill="29251F"/>
            <w:tcBorders>
              <w:bottom w:val="single" w:sz="4" w:color="D6CEC3"/>
            </w:tcBorders>
          </w:tcPr>
          <w:p>
            <w:pPr>
              <w:spacing w:before="100" w:after="100" w:line="247" w:lineRule="auto"/>
            </w:pPr>
            <w:r>
              <w:rPr>
                <w:rFonts w:ascii="Arial" w:hAnsi="Arial"/>
                <w:b/>
                <w:color w:val="FFFFFF"/>
                <w:sz w:val="20"/>
              </w:rPr>
              <w:t>2029</w:t>
            </w:r>
          </w:p>
        </w:tc>
      </w:tr>
      <w:tr>
        <w:trPr>
          <w:cantSplit/>
        </w:trPr>
        <w:tc>
          <w:tcPr>
            <w:tcW w:type="dxa" w:w="3816"/>
            <w:vAlign w:val="center"/>
            <w:shd w:fill="F3EFE8"/>
            <w:tcBorders>
              <w:bottom w:val="single" w:sz="4" w:color="D6CEC3"/>
            </w:tcBorders>
          </w:tcPr>
          <w:p>
            <w:pPr>
              <w:spacing w:before="100" w:after="100" w:line="247" w:lineRule="auto"/>
            </w:pPr>
            <w:r>
              <w:rPr>
                <w:rFonts w:ascii="Arial" w:hAnsi="Arial"/>
                <w:b w:val="0"/>
                <w:color w:val="000000"/>
                <w:sz w:val="20"/>
              </w:rPr>
              <w:t>Net turnover</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2,034</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2,482</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2,754</w:t>
            </w:r>
          </w:p>
        </w:tc>
      </w:tr>
      <w:tr>
        <w:trPr>
          <w:cantSplit/>
        </w:trPr>
        <w:tc>
          <w:tcPr>
            <w:tcW w:type="dxa" w:w="3816"/>
            <w:vAlign w:val="center"/>
            <w:shd w:fill="FFFFFF"/>
            <w:tcBorders>
              <w:bottom w:val="single" w:sz="4" w:color="D6CEC3"/>
            </w:tcBorders>
          </w:tcPr>
          <w:p>
            <w:pPr>
              <w:spacing w:before="100" w:after="100" w:line="247" w:lineRule="auto"/>
            </w:pPr>
            <w:r>
              <w:rPr>
                <w:rFonts w:ascii="Arial" w:hAnsi="Arial"/>
                <w:b w:val="0"/>
                <w:color w:val="000000"/>
                <w:sz w:val="20"/>
              </w:rPr>
              <w:t>Gross profit</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1,174</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1,433</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1,590</w:t>
            </w:r>
          </w:p>
        </w:tc>
      </w:tr>
      <w:tr>
        <w:trPr>
          <w:cantSplit/>
        </w:trPr>
        <w:tc>
          <w:tcPr>
            <w:tcW w:type="dxa" w:w="3816"/>
            <w:vAlign w:val="center"/>
            <w:shd w:fill="F3EFE8"/>
            <w:tcBorders>
              <w:bottom w:val="single" w:sz="4" w:color="D6CEC3"/>
            </w:tcBorders>
          </w:tcPr>
          <w:p>
            <w:pPr>
              <w:spacing w:before="100" w:after="100" w:line="247" w:lineRule="auto"/>
            </w:pPr>
            <w:r>
              <w:rPr>
                <w:rFonts w:ascii="Arial" w:hAnsi="Arial"/>
                <w:b w:val="0"/>
                <w:color w:val="000000"/>
                <w:sz w:val="20"/>
              </w:rPr>
              <w:t>Operating expenses</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933</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997</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1,059</w:t>
            </w:r>
          </w:p>
        </w:tc>
      </w:tr>
      <w:tr>
        <w:trPr>
          <w:cantSplit/>
        </w:trPr>
        <w:tc>
          <w:tcPr>
            <w:tcW w:type="dxa" w:w="3816"/>
            <w:vAlign w:val="center"/>
            <w:shd w:fill="FFFFFF"/>
            <w:tcBorders>
              <w:bottom w:val="single" w:sz="4" w:color="D6CEC3"/>
            </w:tcBorders>
          </w:tcPr>
          <w:p>
            <w:pPr>
              <w:spacing w:before="100" w:after="100" w:line="247" w:lineRule="auto"/>
            </w:pPr>
            <w:r>
              <w:rPr>
                <w:rFonts w:ascii="Arial" w:hAnsi="Arial"/>
                <w:b w:val="0"/>
                <w:color w:val="000000"/>
                <w:sz w:val="20"/>
              </w:rPr>
              <w:t>EBITDA</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241</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436</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531</w:t>
            </w:r>
          </w:p>
        </w:tc>
      </w:tr>
      <w:tr>
        <w:trPr>
          <w:cantSplit/>
        </w:trPr>
        <w:tc>
          <w:tcPr>
            <w:tcW w:type="dxa" w:w="3816"/>
            <w:vAlign w:val="center"/>
            <w:shd w:fill="F3EFE8"/>
            <w:tcBorders>
              <w:bottom w:val="single" w:sz="4" w:color="D6CEC3"/>
            </w:tcBorders>
          </w:tcPr>
          <w:p>
            <w:pPr>
              <w:spacing w:before="100" w:after="100" w:line="247" w:lineRule="auto"/>
            </w:pPr>
            <w:r>
              <w:rPr>
                <w:rFonts w:ascii="Arial" w:hAnsi="Arial"/>
                <w:b w:val="0"/>
                <w:color w:val="000000"/>
                <w:sz w:val="20"/>
              </w:rPr>
              <w:t>Interest expense</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83</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62</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35</w:t>
            </w:r>
          </w:p>
        </w:tc>
      </w:tr>
      <w:tr>
        <w:trPr>
          <w:cantSplit/>
        </w:trPr>
        <w:tc>
          <w:tcPr>
            <w:tcW w:type="dxa" w:w="3816"/>
            <w:vAlign w:val="center"/>
            <w:shd w:fill="FFFFFF"/>
            <w:tcBorders>
              <w:bottom w:val="single" w:sz="4" w:color="D6CEC3"/>
            </w:tcBorders>
          </w:tcPr>
          <w:p>
            <w:pPr>
              <w:spacing w:before="100" w:after="100" w:line="247" w:lineRule="auto"/>
            </w:pPr>
            <w:r>
              <w:rPr>
                <w:rFonts w:ascii="Arial" w:hAnsi="Arial"/>
                <w:b w:val="0"/>
                <w:color w:val="000000"/>
                <w:sz w:val="20"/>
              </w:rPr>
              <w:t>Tax provision</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0</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49</w:t>
            </w:r>
          </w:p>
        </w:tc>
        <w:tc>
          <w:tcPr>
            <w:tcW w:type="dxa" w:w="2088"/>
            <w:vAlign w:val="center"/>
            <w:shd w:fill="FFFFFF"/>
            <w:tcBorders>
              <w:bottom w:val="single" w:sz="4" w:color="D6CEC3"/>
            </w:tcBorders>
          </w:tcPr>
          <w:p>
            <w:pPr>
              <w:spacing w:before="100" w:after="100" w:line="247" w:lineRule="auto"/>
            </w:pPr>
            <w:r>
              <w:rPr>
                <w:rFonts w:ascii="Arial" w:hAnsi="Arial"/>
                <w:b w:val="0"/>
                <w:color w:val="000000"/>
                <w:sz w:val="20"/>
              </w:rPr>
              <w:t>99</w:t>
            </w:r>
          </w:p>
        </w:tc>
      </w:tr>
      <w:tr>
        <w:trPr>
          <w:cantSplit/>
        </w:trPr>
        <w:tc>
          <w:tcPr>
            <w:tcW w:type="dxa" w:w="3816"/>
            <w:vAlign w:val="center"/>
            <w:shd w:fill="F3EFE8"/>
            <w:tcBorders>
              <w:bottom w:val="single" w:sz="4" w:color="D6CEC3"/>
            </w:tcBorders>
          </w:tcPr>
          <w:p>
            <w:pPr>
              <w:spacing w:before="100" w:after="100" w:line="247" w:lineRule="auto"/>
            </w:pPr>
            <w:r>
              <w:rPr>
                <w:rFonts w:ascii="Arial" w:hAnsi="Arial"/>
                <w:b w:val="0"/>
                <w:color w:val="000000"/>
                <w:sz w:val="20"/>
              </w:rPr>
              <w:t>Profit after tax</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31</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196</w:t>
            </w:r>
          </w:p>
        </w:tc>
        <w:tc>
          <w:tcPr>
            <w:tcW w:type="dxa" w:w="2088"/>
            <w:vAlign w:val="center"/>
            <w:shd w:fill="F3EFE8"/>
            <w:tcBorders>
              <w:bottom w:val="single" w:sz="4" w:color="D6CEC3"/>
            </w:tcBorders>
          </w:tcPr>
          <w:p>
            <w:pPr>
              <w:spacing w:before="100" w:after="100" w:line="247" w:lineRule="auto"/>
            </w:pPr>
            <w:r>
              <w:rPr>
                <w:rFonts w:ascii="Arial" w:hAnsi="Arial"/>
                <w:b w:val="0"/>
                <w:color w:val="000000"/>
                <w:sz w:val="20"/>
              </w:rPr>
              <w:t>267</w:t>
            </w:r>
          </w:p>
        </w:tc>
      </w:tr>
    </w:tbl>
    <w:p/>
    <w:p>
      <w:r>
        <w:t>Expected EBITDA becomes positive in month 3 under the January launch placeholder. This is not a promise of immediate founder income. Year 1 is supported by 6% subsequent annual volume growth and 5% annual menu-price growth; input costs rise 5% and rent 8%. Student-related seasonality remains an untested hypothesis.</w:t>
      </w:r>
    </w:p>
    <w:p>
      <w:pPr>
        <w:pStyle w:val="Caption"/>
      </w:pPr>
      <w:r>
        <w:t>Source: Excel Overview, Assumptions and Monthly forecast. Revenue is excluding VAT. No founder remuneration or dividends. Tax provisions use current law held constant and planning approximations explained in section 13.</w:t>
      </w:r>
    </w:p>
    <w:p>
      <w:pPr>
        <w:pStyle w:val="Caption"/>
        <w:pageBreakBefore/>
      </w:pPr>
      <w:r>
        <w:t>11  /  COWBOY CAFE</w:t>
      </w:r>
    </w:p>
    <w:p>
      <w:pPr>
        <w:pStyle w:val="Heading1"/>
      </w:pPr>
      <w:r>
        <w:t>Break-even, sensitivities and cash</w:t>
      </w:r>
    </w:p>
    <w:p>
      <w:r>
        <w:t>At the expected mix, each transaction contributes R25.89 after ingredients, waste, packaging and card fees. Dividing R73,515 fixed monthly cost by that contribution and 365/12 days gives 93.34 transactions per day: plan for at least 94 whole transactions. This is operating break-even before depreciation, financing, tax and owner pay.</w:t>
      </w:r>
    </w:p>
    <w:tbl>
      <w:tblPr>
        <w:tblW w:type="auto" w:w="0"/>
        <w:jc w:val="center"/>
        <w:tblLayout w:type="fixed"/>
        <w:tblLook w:firstColumn="1" w:firstRow="1" w:lastColumn="0" w:lastRow="0" w:noHBand="0" w:noVBand="1" w:val="04A0"/>
      </w:tblPr>
      <w:tblGrid>
        <w:gridCol w:w="4968"/>
        <w:gridCol w:w="5112"/>
      </w:tblGrid>
      <w:tr>
        <w:trPr>
          <w:cantSplit/>
          <w:tblHeader/>
        </w:trPr>
        <w:tc>
          <w:tcPr>
            <w:tcW w:type="dxa" w:w="4968"/>
            <w:vAlign w:val="center"/>
            <w:shd w:fill="29251F"/>
            <w:tcBorders>
              <w:bottom w:val="single" w:sz="4" w:color="D6CEC3"/>
            </w:tcBorders>
          </w:tcPr>
          <w:p>
            <w:pPr>
              <w:spacing w:before="100" w:after="100" w:line="247" w:lineRule="auto"/>
            </w:pPr>
            <w:r>
              <w:rPr>
                <w:rFonts w:ascii="Arial" w:hAnsi="Arial"/>
                <w:b/>
                <w:color w:val="FFFFFF"/>
                <w:sz w:val="20"/>
              </w:rPr>
              <w:t>Single change to the mature base</w:t>
            </w:r>
          </w:p>
        </w:tc>
        <w:tc>
          <w:tcPr>
            <w:tcW w:type="dxa" w:w="5112"/>
            <w:vAlign w:val="center"/>
            <w:shd w:fill="29251F"/>
            <w:tcBorders>
              <w:bottom w:val="single" w:sz="4" w:color="D6CEC3"/>
            </w:tcBorders>
          </w:tcPr>
          <w:p>
            <w:pPr>
              <w:spacing w:before="100" w:after="100" w:line="247" w:lineRule="auto"/>
            </w:pPr>
            <w:r>
              <w:rPr>
                <w:rFonts w:ascii="Arial" w:hAnsi="Arial"/>
                <w:b/>
                <w:color w:val="FFFFFF"/>
                <w:sz w:val="20"/>
              </w:rPr>
              <w:t>Approximate effect</w:t>
            </w:r>
          </w:p>
        </w:tc>
      </w:tr>
      <w:tr>
        <w:trPr>
          <w:cantSplit/>
        </w:trPr>
        <w:tc>
          <w:tcPr>
            <w:tcW w:type="dxa" w:w="4968"/>
            <w:vAlign w:val="center"/>
            <w:shd w:fill="F3EFE8"/>
            <w:tcBorders>
              <w:bottom w:val="single" w:sz="4" w:color="D6CEC3"/>
            </w:tcBorders>
          </w:tcPr>
          <w:p>
            <w:pPr>
              <w:spacing w:before="100" w:after="100" w:line="247" w:lineRule="auto"/>
            </w:pPr>
            <w:r>
              <w:rPr>
                <w:rFonts w:ascii="Arial" w:hAnsi="Arial"/>
                <w:b w:val="0"/>
                <w:color w:val="000000"/>
                <w:sz w:val="20"/>
              </w:rPr>
              <w:t>Rent R16,000 / R20,000 / R26,000 ex VAT</w:t>
            </w:r>
          </w:p>
        </w:tc>
        <w:tc>
          <w:tcPr>
            <w:tcW w:type="dxa" w:w="5112"/>
            <w:vAlign w:val="center"/>
            <w:shd w:fill="F3EFE8"/>
            <w:tcBorders>
              <w:bottom w:val="single" w:sz="4" w:color="D6CEC3"/>
            </w:tcBorders>
          </w:tcPr>
          <w:p>
            <w:pPr>
              <w:spacing w:before="100" w:after="100" w:line="247" w:lineRule="auto"/>
            </w:pPr>
            <w:r>
              <w:rPr>
                <w:rFonts w:ascii="Arial" w:hAnsi="Arial"/>
                <w:b w:val="0"/>
                <w:color w:val="000000"/>
                <w:sz w:val="20"/>
              </w:rPr>
              <w:t>Operating break-even about 89 / 94 / 101 whole transactions daily.</w:t>
            </w:r>
          </w:p>
        </w:tc>
      </w:tr>
      <w:tr>
        <w:trPr>
          <w:cantSplit/>
        </w:trPr>
        <w:tc>
          <w:tcPr>
            <w:tcW w:type="dxa" w:w="4968"/>
            <w:vAlign w:val="center"/>
            <w:shd w:fill="FFFFFF"/>
            <w:tcBorders>
              <w:bottom w:val="single" w:sz="4" w:color="D6CEC3"/>
            </w:tcBorders>
          </w:tcPr>
          <w:p>
            <w:pPr>
              <w:spacing w:before="100" w:after="100" w:line="247" w:lineRule="auto"/>
            </w:pPr>
            <w:r>
              <w:rPr>
                <w:rFonts w:ascii="Arial" w:hAnsi="Arial"/>
                <w:b w:val="0"/>
                <w:color w:val="000000"/>
                <w:sz w:val="20"/>
              </w:rPr>
              <w:t>10 more transactions per day</w:t>
            </w:r>
          </w:p>
        </w:tc>
        <w:tc>
          <w:tcPr>
            <w:tcW w:type="dxa" w:w="5112"/>
            <w:vAlign w:val="center"/>
            <w:shd w:fill="FFFFFF"/>
            <w:tcBorders>
              <w:bottom w:val="single" w:sz="4" w:color="D6CEC3"/>
            </w:tcBorders>
          </w:tcPr>
          <w:p>
            <w:pPr>
              <w:spacing w:before="100" w:after="100" w:line="247" w:lineRule="auto"/>
            </w:pPr>
            <w:r>
              <w:rPr>
                <w:rFonts w:ascii="Arial" w:hAnsi="Arial"/>
                <w:b w:val="0"/>
                <w:color w:val="000000"/>
                <w:sz w:val="20"/>
              </w:rPr>
              <w:t>About R7,876 more monthly contribution at the opening-year mix.</w:t>
            </w:r>
          </w:p>
        </w:tc>
      </w:tr>
      <w:tr>
        <w:trPr>
          <w:cantSplit/>
        </w:trPr>
        <w:tc>
          <w:tcPr>
            <w:tcW w:type="dxa" w:w="4968"/>
            <w:vAlign w:val="center"/>
            <w:shd w:fill="F3EFE8"/>
            <w:tcBorders>
              <w:bottom w:val="single" w:sz="4" w:color="D6CEC3"/>
            </w:tcBorders>
          </w:tcPr>
          <w:p>
            <w:pPr>
              <w:spacing w:before="100" w:after="100" w:line="247" w:lineRule="auto"/>
            </w:pPr>
            <w:r>
              <w:rPr>
                <w:rFonts w:ascii="Arial" w:hAnsi="Arial"/>
                <w:b w:val="0"/>
                <w:color w:val="000000"/>
                <w:sz w:val="20"/>
              </w:rPr>
              <w:t>Branded hot packaging +R1 gross</w:t>
            </w:r>
          </w:p>
        </w:tc>
        <w:tc>
          <w:tcPr>
            <w:tcW w:type="dxa" w:w="5112"/>
            <w:vAlign w:val="center"/>
            <w:shd w:fill="F3EFE8"/>
            <w:tcBorders>
              <w:bottom w:val="single" w:sz="4" w:color="D6CEC3"/>
            </w:tcBorders>
          </w:tcPr>
          <w:p>
            <w:pPr>
              <w:spacing w:before="100" w:after="100" w:line="247" w:lineRule="auto"/>
            </w:pPr>
            <w:r>
              <w:rPr>
                <w:rFonts w:ascii="Arial" w:hAnsi="Arial"/>
                <w:b w:val="0"/>
                <w:color w:val="000000"/>
                <w:sz w:val="20"/>
              </w:rPr>
              <w:t>About R2,133 less annual contribution per 10 daily transactions; depends on hot-drink mix.</w:t>
            </w:r>
          </w:p>
        </w:tc>
      </w:tr>
      <w:tr>
        <w:trPr>
          <w:cantSplit/>
        </w:trPr>
        <w:tc>
          <w:tcPr>
            <w:tcW w:type="dxa" w:w="4968"/>
            <w:vAlign w:val="center"/>
            <w:shd w:fill="FFFFFF"/>
            <w:tcBorders>
              <w:bottom w:val="single" w:sz="4" w:color="D6CEC3"/>
            </w:tcBorders>
          </w:tcPr>
          <w:p>
            <w:pPr>
              <w:spacing w:before="100" w:after="100" w:line="247" w:lineRule="auto"/>
            </w:pPr>
            <w:r>
              <w:rPr>
                <w:rFonts w:ascii="Arial" w:hAnsi="Arial"/>
                <w:b w:val="0"/>
                <w:color w:val="000000"/>
                <w:sz w:val="20"/>
              </w:rPr>
              <w:t>Two founders paid R10,000 each monthly</w:t>
            </w:r>
          </w:p>
        </w:tc>
        <w:tc>
          <w:tcPr>
            <w:tcW w:type="dxa" w:w="5112"/>
            <w:vAlign w:val="center"/>
            <w:shd w:fill="FFFFFF"/>
            <w:tcBorders>
              <w:bottom w:val="single" w:sz="4" w:color="D6CEC3"/>
            </w:tcBorders>
          </w:tcPr>
          <w:p>
            <w:pPr>
              <w:spacing w:before="100" w:after="100" w:line="247" w:lineRule="auto"/>
            </w:pPr>
            <w:r>
              <w:rPr>
                <w:rFonts w:ascii="Arial" w:hAnsi="Arial"/>
                <w:b w:val="0"/>
                <w:color w:val="000000"/>
                <w:sz w:val="20"/>
              </w:rPr>
              <w:t>About 26 additional transactions daily before related payroll costs.</w:t>
            </w:r>
          </w:p>
        </w:tc>
      </w:tr>
      <w:tr>
        <w:trPr>
          <w:cantSplit/>
        </w:trPr>
        <w:tc>
          <w:tcPr>
            <w:tcW w:type="dxa" w:w="4968"/>
            <w:vAlign w:val="center"/>
            <w:shd w:fill="F3EFE8"/>
            <w:tcBorders>
              <w:bottom w:val="single" w:sz="4" w:color="D6CEC3"/>
            </w:tcBorders>
          </w:tcPr>
          <w:p>
            <w:pPr>
              <w:spacing w:before="100" w:after="100" w:line="247" w:lineRule="auto"/>
            </w:pPr>
            <w:r>
              <w:rPr>
                <w:rFonts w:ascii="Arial" w:hAnsi="Arial"/>
                <w:b w:val="0"/>
                <w:color w:val="000000"/>
                <w:sz w:val="20"/>
              </w:rPr>
              <w:t>Matcha costs R11,000/kg instead of R3,500</w:t>
            </w:r>
          </w:p>
        </w:tc>
        <w:tc>
          <w:tcPr>
            <w:tcW w:type="dxa" w:w="5112"/>
            <w:vAlign w:val="center"/>
            <w:shd w:fill="F3EFE8"/>
            <w:tcBorders>
              <w:bottom w:val="single" w:sz="4" w:color="D6CEC3"/>
            </w:tcBorders>
          </w:tcPr>
          <w:p>
            <w:pPr>
              <w:spacing w:before="100" w:after="100" w:line="247" w:lineRule="auto"/>
            </w:pPr>
            <w:r>
              <w:rPr>
                <w:rFonts w:ascii="Arial" w:hAnsi="Arial"/>
                <w:b w:val="0"/>
                <w:color w:val="000000"/>
                <w:sz w:val="20"/>
              </w:rPr>
              <w:t>About R5,429 less monthly GP at 130 daily transactions and 10% matcha mix.</w:t>
            </w:r>
          </w:p>
        </w:tc>
      </w:tr>
    </w:tbl>
    <w:p/>
    <w:p>
      <w:r>
        <w:t>Sensitivities above are direct arithmetic illustrations at a mature, seasonally neutral month. They do not include second-order changes to tax, interest or the launch ramp. The packaging calculation uses 84% hot-drink mix, 80% takeaway and recoverable VAT. The matcha stress uses a public retail-quality price as a severe procurement test, not a like-for-like wholesale quote.</w:t>
      </w:r>
    </w:p>
    <w:p>
      <w:pPr>
        <w:pStyle w:val="Heading2"/>
      </w:pPr>
      <w:r>
        <w:t>Cash policy</w:t>
      </w:r>
    </w:p>
    <w:p>
      <w:r>
        <w:t>The company begins with R200,000 cash. The expected minimum is R162,062, with a potential R106,297 pre-opening VAT refund modelled in month 3. Refund timing and eligibility need confirmation; operating VAT is assumed settled within the month. The cash model provisions tax monthly rather than reproducing filing dates.</w:t>
      </w:r>
    </w:p>
    <w:p>
      <w:r>
        <w:t>Founder repayments draw on current operating surplus after tax, working-capital movement and replacement capex, subject to a R120,000 reserve that escalates with costs. The VAT refund alone does not trigger repayment. The expected case has no extra company funding need; the conservative case needs R264,551. That amount is explicitly an unfunded requirement, not an approved equity facility.</w:t>
      </w:r>
    </w:p>
    <w:p>
      <w:pPr>
        <w:pStyle w:val="Caption"/>
      </w:pPr>
      <w:r>
        <w:t>Project operating cash recovery occurs around month 30 in the expected case before personal finance costs; this is not founder payback or an investment IRR. No sale proceeds or terminal value are included.</w:t>
      </w:r>
    </w:p>
    <w:p>
      <w:pPr>
        <w:pStyle w:val="Caption"/>
        <w:pageBreakBefore/>
      </w:pPr>
      <w:r>
        <w:t>12  /  COWBOY CAFE</w:t>
      </w:r>
    </w:p>
    <w:p>
      <w:pPr>
        <w:pStyle w:val="Heading1"/>
      </w:pPr>
      <w:r>
        <w:t>Funding and founder affordability</w:t>
      </w:r>
    </w:p>
    <w:p>
      <w:r>
        <w:t>Marius and Willem are assumed to advance equal loans to the company, funded by personal borrowing. Inge’s provisional R100 share subscription is separate. The founders’ personal bank instalments are not company operating expenses. The company records 8% annual loan interest and pays accrued interest before voluntarily repaying principal when its cash policy permits.</w:t>
      </w:r>
    </w:p>
    <w:tbl>
      <w:tblPr>
        <w:tblW w:type="auto" w:w="0"/>
        <w:jc w:val="center"/>
        <w:tblLayout w:type="fixed"/>
        <w:tblLook w:firstColumn="1" w:firstRow="1" w:lastColumn="0" w:lastRow="0" w:noHBand="0" w:noVBand="1" w:val="04A0"/>
      </w:tblPr>
      <w:tblGrid>
        <w:gridCol w:w="7200"/>
        <w:gridCol w:w="2880"/>
      </w:tblGrid>
      <w:tr>
        <w:trPr>
          <w:cantSplit/>
          <w:tblHeader/>
        </w:trPr>
        <w:tc>
          <w:tcPr>
            <w:tcW w:type="dxa" w:w="7200"/>
            <w:vAlign w:val="center"/>
            <w:shd w:fill="29251F"/>
            <w:tcBorders>
              <w:bottom w:val="single" w:sz="4" w:color="D6CEC3"/>
            </w:tcBorders>
          </w:tcPr>
          <w:p>
            <w:pPr>
              <w:spacing w:before="100" w:after="100" w:line="247" w:lineRule="auto"/>
            </w:pPr>
            <w:r>
              <w:rPr>
                <w:rFonts w:ascii="Arial" w:hAnsi="Arial"/>
                <w:b/>
                <w:color w:val="FFFFFF"/>
                <w:sz w:val="20"/>
              </w:rPr>
              <w:t>Expected funding measure</w:t>
            </w:r>
          </w:p>
        </w:tc>
        <w:tc>
          <w:tcPr>
            <w:tcW w:type="dxa" w:w="2880"/>
            <w:vAlign w:val="center"/>
            <w:shd w:fill="29251F"/>
            <w:tcBorders>
              <w:bottom w:val="single" w:sz="4" w:color="D6CEC3"/>
            </w:tcBorders>
          </w:tcPr>
          <w:p>
            <w:pPr>
              <w:spacing w:before="100" w:after="100" w:line="247" w:lineRule="auto"/>
            </w:pPr>
            <w:r>
              <w:rPr>
                <w:rFonts w:ascii="Arial" w:hAnsi="Arial"/>
                <w:b/>
                <w:color w:val="FFFFFF"/>
                <w:sz w:val="20"/>
              </w:rPr>
              <w:t>Each founder</w:t>
            </w:r>
          </w:p>
        </w:tc>
      </w:tr>
      <w:tr>
        <w:trPr>
          <w:cantSplit/>
        </w:trPr>
        <w:tc>
          <w:tcPr>
            <w:tcW w:type="dxa" w:w="7200"/>
            <w:vAlign w:val="center"/>
            <w:shd w:fill="F3EFE8"/>
            <w:tcBorders>
              <w:bottom w:val="single" w:sz="4" w:color="D6CEC3"/>
            </w:tcBorders>
          </w:tcPr>
          <w:p>
            <w:pPr>
              <w:spacing w:before="100" w:after="100" w:line="247" w:lineRule="auto"/>
            </w:pPr>
            <w:r>
              <w:rPr>
                <w:rFonts w:ascii="Arial" w:hAnsi="Arial"/>
                <w:b w:val="0"/>
                <w:color w:val="000000"/>
                <w:sz w:val="20"/>
              </w:rPr>
              <w:t>Initial company loan advanced</w:t>
            </w:r>
          </w:p>
        </w:tc>
        <w:tc>
          <w:tcPr>
            <w:tcW w:type="dxa" w:w="2880"/>
            <w:vAlign w:val="center"/>
            <w:shd w:fill="F3EFE8"/>
            <w:tcBorders>
              <w:bottom w:val="single" w:sz="4" w:color="D6CEC3"/>
            </w:tcBorders>
          </w:tcPr>
          <w:p>
            <w:pPr>
              <w:spacing w:before="100" w:after="100" w:line="247" w:lineRule="auto"/>
            </w:pPr>
            <w:r>
              <w:rPr>
                <w:rFonts w:ascii="Arial" w:hAnsi="Arial"/>
                <w:b w:val="0"/>
                <w:color w:val="000000"/>
                <w:sz w:val="20"/>
              </w:rPr>
              <w:t>R545,820</w:t>
            </w:r>
          </w:p>
        </w:tc>
      </w:tr>
      <w:tr>
        <w:trPr>
          <w:cantSplit/>
        </w:trPr>
        <w:tc>
          <w:tcPr>
            <w:tcW w:type="dxa" w:w="7200"/>
            <w:vAlign w:val="center"/>
            <w:shd w:fill="FFFFFF"/>
            <w:tcBorders>
              <w:bottom w:val="single" w:sz="4" w:color="D6CEC3"/>
            </w:tcBorders>
          </w:tcPr>
          <w:p>
            <w:pPr>
              <w:spacing w:before="100" w:after="100" w:line="247" w:lineRule="auto"/>
            </w:pPr>
            <w:r>
              <w:rPr>
                <w:rFonts w:ascii="Arial" w:hAnsi="Arial"/>
                <w:b w:val="0"/>
                <w:color w:val="000000"/>
                <w:sz w:val="20"/>
              </w:rPr>
              <w:t>Illustrative 60-month loan payment, opening month</w:t>
            </w:r>
          </w:p>
        </w:tc>
        <w:tc>
          <w:tcPr>
            <w:tcW w:type="dxa" w:w="2880"/>
            <w:vAlign w:val="center"/>
            <w:shd w:fill="FFFFFF"/>
            <w:tcBorders>
              <w:bottom w:val="single" w:sz="4" w:color="D6CEC3"/>
            </w:tcBorders>
          </w:tcPr>
          <w:p>
            <w:pPr>
              <w:spacing w:before="100" w:after="100" w:line="247" w:lineRule="auto"/>
            </w:pPr>
            <w:r>
              <w:rPr>
                <w:rFonts w:ascii="Arial" w:hAnsi="Arial"/>
                <w:b w:val="0"/>
                <w:color w:val="000000"/>
                <w:sz w:val="20"/>
              </w:rPr>
              <w:t>R16,385</w:t>
            </w:r>
          </w:p>
        </w:tc>
      </w:tr>
      <w:tr>
        <w:trPr>
          <w:cantSplit/>
        </w:trPr>
        <w:tc>
          <w:tcPr>
            <w:tcW w:type="dxa" w:w="7200"/>
            <w:vAlign w:val="center"/>
            <w:shd w:fill="F3EFE8"/>
            <w:tcBorders>
              <w:bottom w:val="single" w:sz="4" w:color="D6CEC3"/>
            </w:tcBorders>
          </w:tcPr>
          <w:p>
            <w:pPr>
              <w:spacing w:before="100" w:after="100" w:line="247" w:lineRule="auto"/>
            </w:pPr>
            <w:r>
              <w:rPr>
                <w:rFonts w:ascii="Arial" w:hAnsi="Arial"/>
                <w:b w:val="0"/>
                <w:color w:val="000000"/>
                <w:sz w:val="20"/>
              </w:rPr>
              <w:t>Pre-opening cash carry and initiation costs</w:t>
            </w:r>
          </w:p>
        </w:tc>
        <w:tc>
          <w:tcPr>
            <w:tcW w:type="dxa" w:w="2880"/>
            <w:vAlign w:val="center"/>
            <w:shd w:fill="F3EFE8"/>
            <w:tcBorders>
              <w:bottom w:val="single" w:sz="4" w:color="D6CEC3"/>
            </w:tcBorders>
          </w:tcPr>
          <w:p>
            <w:pPr>
              <w:spacing w:before="100" w:after="100" w:line="247" w:lineRule="auto"/>
            </w:pPr>
            <w:r>
              <w:rPr>
                <w:rFonts w:ascii="Arial" w:hAnsi="Arial"/>
                <w:b w:val="0"/>
                <w:color w:val="000000"/>
                <w:sz w:val="20"/>
              </w:rPr>
              <w:t>R22,633</w:t>
            </w:r>
          </w:p>
        </w:tc>
      </w:tr>
      <w:tr>
        <w:trPr>
          <w:cantSplit/>
        </w:trPr>
        <w:tc>
          <w:tcPr>
            <w:tcW w:type="dxa" w:w="7200"/>
            <w:vAlign w:val="center"/>
            <w:shd w:fill="FFFFFF"/>
            <w:tcBorders>
              <w:bottom w:val="single" w:sz="4" w:color="D6CEC3"/>
            </w:tcBorders>
          </w:tcPr>
          <w:p>
            <w:pPr>
              <w:spacing w:before="100" w:after="100" w:line="247" w:lineRule="auto"/>
            </w:pPr>
            <w:r>
              <w:rPr>
                <w:rFonts w:ascii="Arial" w:hAnsi="Arial"/>
                <w:b w:val="0"/>
                <w:color w:val="000000"/>
                <w:sz w:val="20"/>
              </w:rPr>
              <w:t>Peak cumulative outside cash need over 36 months</w:t>
            </w:r>
          </w:p>
        </w:tc>
        <w:tc>
          <w:tcPr>
            <w:tcW w:type="dxa" w:w="2880"/>
            <w:vAlign w:val="center"/>
            <w:shd w:fill="FFFFFF"/>
            <w:tcBorders>
              <w:bottom w:val="single" w:sz="4" w:color="D6CEC3"/>
            </w:tcBorders>
          </w:tcPr>
          <w:p>
            <w:pPr>
              <w:spacing w:before="100" w:after="100" w:line="247" w:lineRule="auto"/>
            </w:pPr>
            <w:r>
              <w:rPr>
                <w:rFonts w:ascii="Arial" w:hAnsi="Arial"/>
                <w:b w:val="0"/>
                <w:color w:val="000000"/>
                <w:sz w:val="20"/>
              </w:rPr>
              <w:t>R101,146</w:t>
            </w:r>
          </w:p>
        </w:tc>
      </w:tr>
      <w:tr>
        <w:trPr>
          <w:cantSplit/>
        </w:trPr>
        <w:tc>
          <w:tcPr>
            <w:tcW w:type="dxa" w:w="7200"/>
            <w:vAlign w:val="center"/>
            <w:shd w:fill="F3EFE8"/>
            <w:tcBorders>
              <w:bottom w:val="single" w:sz="4" w:color="D6CEC3"/>
            </w:tcBorders>
          </w:tcPr>
          <w:p>
            <w:pPr>
              <w:spacing w:before="100" w:after="100" w:line="247" w:lineRule="auto"/>
            </w:pPr>
            <w:r>
              <w:rPr>
                <w:rFonts w:ascii="Arial" w:hAnsi="Arial"/>
                <w:b w:val="0"/>
                <w:color w:val="000000"/>
                <w:sz w:val="20"/>
              </w:rPr>
              <w:t>Company loan principal receivable at month 36</w:t>
            </w:r>
          </w:p>
        </w:tc>
        <w:tc>
          <w:tcPr>
            <w:tcW w:type="dxa" w:w="2880"/>
            <w:vAlign w:val="center"/>
            <w:shd w:fill="F3EFE8"/>
            <w:tcBorders>
              <w:bottom w:val="single" w:sz="4" w:color="D6CEC3"/>
            </w:tcBorders>
          </w:tcPr>
          <w:p>
            <w:pPr>
              <w:spacing w:before="100" w:after="100" w:line="247" w:lineRule="auto"/>
            </w:pPr>
            <w:r>
              <w:rPr>
                <w:rFonts w:ascii="Arial" w:hAnsi="Arial"/>
                <w:b w:val="0"/>
                <w:color w:val="000000"/>
                <w:sz w:val="20"/>
              </w:rPr>
              <w:t>R110,900</w:t>
            </w:r>
          </w:p>
        </w:tc>
      </w:tr>
      <w:tr>
        <w:trPr>
          <w:cantSplit/>
        </w:trPr>
        <w:tc>
          <w:tcPr>
            <w:tcW w:type="dxa" w:w="7200"/>
            <w:vAlign w:val="center"/>
            <w:shd w:fill="FFFFFF"/>
            <w:tcBorders>
              <w:bottom w:val="single" w:sz="4" w:color="D6CEC3"/>
            </w:tcBorders>
          </w:tcPr>
          <w:p>
            <w:pPr>
              <w:spacing w:before="100" w:after="100" w:line="247" w:lineRule="auto"/>
            </w:pPr>
            <w:r>
              <w:rPr>
                <w:rFonts w:ascii="Arial" w:hAnsi="Arial"/>
                <w:b w:val="0"/>
                <w:color w:val="000000"/>
                <w:sz w:val="20"/>
              </w:rPr>
              <w:t>Personal bank debt remaining at month 36</w:t>
            </w:r>
          </w:p>
        </w:tc>
        <w:tc>
          <w:tcPr>
            <w:tcW w:type="dxa" w:w="2880"/>
            <w:vAlign w:val="center"/>
            <w:shd w:fill="FFFFFF"/>
            <w:tcBorders>
              <w:bottom w:val="single" w:sz="4" w:color="D6CEC3"/>
            </w:tcBorders>
          </w:tcPr>
          <w:p>
            <w:pPr>
              <w:spacing w:before="100" w:after="100" w:line="247" w:lineRule="auto"/>
            </w:pPr>
            <w:r>
              <w:rPr>
                <w:rFonts w:ascii="Arial" w:hAnsi="Arial"/>
                <w:b w:val="0"/>
                <w:color w:val="000000"/>
                <w:sz w:val="20"/>
              </w:rPr>
              <w:t>R277,626</w:t>
            </w:r>
          </w:p>
        </w:tc>
      </w:tr>
    </w:tbl>
    <w:p/>
    <w:p>
      <w:r>
        <w:t>The personal borrowing illustration uses 18% interest, a R69 monthly fee per person, R1,207.50 initiation fee and a provisional credit-life cost of R4.50 per R1,000 opening balance per month. It includes two months of pre-opening carry, estimated as interest-only; actual lender amortisation may begin immediately. Bank-specific pricing and insurance must replace these assumptions.</w:t>
      </w:r>
    </w:p>
    <w:p>
      <w:r>
        <w:t>The advertised benchmark ceiling is R350,000 per person. The R391,640 combined gap is a funding-source problem in addition to the ongoing cash shortfall. The peak contribution estimate assumes the full illustrated loan can be obtained; if part must instead be funded in cash, the upfront personal requirement changes. Do not add or substitute amounts without rebuilding the sources and uses.</w:t>
      </w:r>
    </w:p>
    <w:p>
      <w:r>
        <w:t>The conservative peak outside contribution is R725,593 each, including half the extra company funding. The optimistic figure is R41,059 each, but cash retained in a company owned by Inge does not automatically belong to the founders. Loan repayments may stop when their loans are repaid while personal bank instalments continue. Personal tax on interest and any deductibility of borrowing costs are excluded pending individual review.</w:t>
      </w:r>
    </w:p>
    <w:p>
      <w:pPr>
        <w:pStyle w:val="Caption"/>
      </w:pPr>
      <w:r>
        <w:t>Finance references [S9], [S14]. Affordability remains undecided. No approved bank terms, collateral, sureties, alternative facility or personal income data have been supplied.</w:t>
      </w:r>
    </w:p>
    <w:p>
      <w:pPr>
        <w:pStyle w:val="Caption"/>
        <w:pageBreakBefore/>
      </w:pPr>
      <w:r>
        <w:t>13  /  COWBOY CAFE</w:t>
      </w:r>
    </w:p>
    <w:p>
      <w:pPr>
        <w:pStyle w:val="Heading1"/>
      </w:pPr>
      <w:r>
        <w:t>Tax and governance: conditional structure</w:t>
      </w:r>
    </w:p>
    <w:p>
      <w:r>
        <w:t>The requested arrangement is Inge as an unrelated sole shareholder, with Marius and Willem funding and directing the company. A later company buyback at nominal value and issue of replacement shares to the founders is proposed, followed by ordinary company taxation. This plan does not confirm that the arrangement qualifies for turnover tax or that the exit is lawful or tax neutral.</w:t>
      </w:r>
    </w:p>
    <w:p>
      <w:pPr>
        <w:pStyle w:val="Heading2"/>
      </w:pPr>
      <w:r>
        <w:t>Required legal work</w:t>
      </w:r>
    </w:p>
    <w:p>
      <w:r>
        <w:t>An attorney must reconcile the MOI and shareholders’ agreement with mandatory Companies Act rights, director appointment/removal, voting, reserved matters, transfer restrictions, pre-emption and fair exit mechanics. The board generally authorises distributions under section 46 subject to solvency and liquidity; the MOI cannot erase mandatory shareholder remedies. An enforceable operational mandate is different from removing the shareholder’s economic interest.</w:t>
      </w:r>
    </w:p>
    <w:p>
      <w:r>
        <w:t>A company buyback cannot leave the company with no issued shares, and acquired shares are cancelled. Replacement issue, shareholder approvals and buyback sequencing require advice on the actual documents and law then in force. Document the loans, interest, payment discretion, default, security if any, and conflicts. Disclose beneficial ownership based on actual rights and control, not only the name on the share register.</w:t>
      </w:r>
    </w:p>
    <w:p>
      <w:r>
        <w:t>A nominal repurchase price does not by itself eliminate market-value tax rules. Assess proceeds versus base cost for CGT, whether proceeds are a dividend or return of contributed tax capital, donations/value shifting and STT. STT is generally 0.25% with valuation rules; the result is transaction-specific. SARS BPR 340 concerned a specific nominal employee-share buyback and is not general clearance for this arrangement or turnover-tax eligibility.</w:t>
      </w:r>
    </w:p>
    <w:p>
      <w:pPr>
        <w:pStyle w:val="Heading2"/>
      </w:pPr>
      <w:r>
        <w:t>Financial treatment</w:t>
      </w:r>
    </w:p>
    <w:p>
      <w:r>
        <w:t>The model defaults to 27% ordinary company tax and VAT registration from launch. Turnover tax is only a conditional control. Current published turnover-tax ceiling and bands are held flat: R2.3m ceiling; nil to R600k, 1% to R950k, 2% to R1.4m and 3% above. The model switches to ordinary tax for the whole planning year on a threshold breach; the legal transition and actual year-end require separate advice.</w:t>
      </w:r>
    </w:p>
    <w:p>
      <w:r>
        <w:t>Expected net turnover exceeds R2.3m in Year 2; the optimistic case exceeds it in Year 1. In the conservative Year 1 loss case, conditional turnover tax is still approximately R7,310, versus a nil ordinary tax provision. A favourable tax regime cannot rescue inadequate demand. Tax allowances are approximated by depreciation, pre-opening deductions are provisional, and no deferred tax or personal tax is modelled.</w:t>
      </w:r>
    </w:p>
    <w:p>
      <w:pPr>
        <w:pStyle w:val="Caption"/>
      </w:pPr>
      <w:r>
        <w:t>Primary tax and legal references [S14], [S16]–[S20]. Current rates must be rechecked before the 2027 opening. No MOI or tax opinion is issued with this plan.</w:t>
      </w:r>
    </w:p>
    <w:p>
      <w:pPr>
        <w:pStyle w:val="Caption"/>
        <w:pageBreakBefore/>
      </w:pPr>
      <w:r>
        <w:t>14  /  COWBOY CAFE</w:t>
      </w:r>
    </w:p>
    <w:p>
      <w:pPr>
        <w:pStyle w:val="Heading1"/>
      </w:pPr>
      <w:r>
        <w:t>Implementation and investment gates</w:t>
      </w:r>
    </w:p>
    <w:p>
      <w:r>
        <w:t>Use a staged launch process with expenditure tied to evidence. An indicative 12–16 weeks is an execution allowance once a suitable site is available, not a promised opening date. Design is completed at launch; no later kitchen expansion is assumed.</w:t>
      </w:r>
    </w:p>
    <w:tbl>
      <w:tblPr>
        <w:tblW w:type="auto" w:w="0"/>
        <w:jc w:val="center"/>
        <w:tblLayout w:type="fixed"/>
        <w:tblLook w:firstColumn="1" w:firstRow="1" w:lastColumn="0" w:lastRow="0" w:noHBand="0" w:noVBand="1" w:val="04A0"/>
      </w:tblPr>
      <w:tblGrid>
        <w:gridCol w:w="2448"/>
        <w:gridCol w:w="6120"/>
        <w:gridCol w:w="1512"/>
      </w:tblGrid>
      <w:tr>
        <w:trPr>
          <w:cantSplit/>
          <w:tblHeader/>
        </w:trPr>
        <w:tc>
          <w:tcPr>
            <w:tcW w:type="dxa" w:w="2448"/>
            <w:vAlign w:val="center"/>
            <w:shd w:fill="29251F"/>
            <w:tcBorders>
              <w:bottom w:val="single" w:sz="4" w:color="D6CEC3"/>
            </w:tcBorders>
          </w:tcPr>
          <w:p>
            <w:pPr>
              <w:spacing w:before="100" w:after="100" w:line="247" w:lineRule="auto"/>
            </w:pPr>
            <w:r>
              <w:rPr>
                <w:rFonts w:ascii="Arial" w:hAnsi="Arial"/>
                <w:b/>
                <w:color w:val="FFFFFF"/>
                <w:sz w:val="20"/>
              </w:rPr>
              <w:t>Stage</w:t>
            </w:r>
          </w:p>
        </w:tc>
        <w:tc>
          <w:tcPr>
            <w:tcW w:type="dxa" w:w="6120"/>
            <w:vAlign w:val="center"/>
            <w:shd w:fill="29251F"/>
            <w:tcBorders>
              <w:bottom w:val="single" w:sz="4" w:color="D6CEC3"/>
            </w:tcBorders>
          </w:tcPr>
          <w:p>
            <w:pPr>
              <w:spacing w:before="100" w:after="100" w:line="247" w:lineRule="auto"/>
            </w:pPr>
            <w:r>
              <w:rPr>
                <w:rFonts w:ascii="Arial" w:hAnsi="Arial"/>
                <w:b/>
                <w:color w:val="FFFFFF"/>
                <w:sz w:val="20"/>
              </w:rPr>
              <w:t>Actions and release condition</w:t>
            </w:r>
          </w:p>
        </w:tc>
        <w:tc>
          <w:tcPr>
            <w:tcW w:type="dxa" w:w="1512"/>
            <w:vAlign w:val="center"/>
            <w:shd w:fill="29251F"/>
            <w:tcBorders>
              <w:bottom w:val="single" w:sz="4" w:color="D6CEC3"/>
            </w:tcBorders>
          </w:tcPr>
          <w:p>
            <w:pPr>
              <w:spacing w:before="100" w:after="100" w:line="247" w:lineRule="auto"/>
            </w:pPr>
            <w:r>
              <w:rPr>
                <w:rFonts w:ascii="Arial" w:hAnsi="Arial"/>
                <w:b/>
                <w:color w:val="FFFFFF"/>
                <w:sz w:val="20"/>
              </w:rPr>
              <w:t>Lead</w:t>
            </w:r>
          </w:p>
        </w:tc>
      </w:tr>
      <w:tr>
        <w:trPr>
          <w:cantSplit/>
        </w:trPr>
        <w:tc>
          <w:tcPr>
            <w:tcW w:type="dxa" w:w="2448"/>
            <w:vAlign w:val="center"/>
            <w:shd w:fill="F3EFE8"/>
            <w:tcBorders>
              <w:bottom w:val="single" w:sz="4" w:color="D6CEC3"/>
            </w:tcBorders>
          </w:tcPr>
          <w:p>
            <w:pPr>
              <w:spacing w:before="100" w:after="100" w:line="247" w:lineRule="auto"/>
            </w:pPr>
            <w:r>
              <w:rPr>
                <w:rFonts w:ascii="Arial" w:hAnsi="Arial"/>
                <w:b w:val="0"/>
                <w:color w:val="000000"/>
                <w:sz w:val="20"/>
              </w:rPr>
              <w:t>Weeks 1–4: validate</w:t>
            </w:r>
          </w:p>
        </w:tc>
        <w:tc>
          <w:tcPr>
            <w:tcW w:type="dxa" w:w="6120"/>
            <w:vAlign w:val="center"/>
            <w:shd w:fill="F3EFE8"/>
            <w:tcBorders>
              <w:bottom w:val="single" w:sz="4" w:color="D6CEC3"/>
            </w:tcBorders>
          </w:tcPr>
          <w:p>
            <w:pPr>
              <w:spacing w:before="100" w:after="100" w:line="247" w:lineRule="auto"/>
            </w:pPr>
            <w:r>
              <w:rPr>
                <w:rFonts w:ascii="Arial" w:hAnsi="Arial"/>
                <w:b w:val="0"/>
                <w:color w:val="000000"/>
                <w:sz w:val="20"/>
              </w:rPr>
              <w:t>Measure frontage demand; price-test; obtain lease draft and complete funding affordability analysis.</w:t>
            </w:r>
          </w:p>
        </w:tc>
        <w:tc>
          <w:tcPr>
            <w:tcW w:type="dxa" w:w="1512"/>
            <w:vAlign w:val="center"/>
            <w:shd w:fill="F3EFE8"/>
            <w:tcBorders>
              <w:bottom w:val="single" w:sz="4" w:color="D6CEC3"/>
            </w:tcBorders>
          </w:tcPr>
          <w:p>
            <w:pPr>
              <w:spacing w:before="100" w:after="100" w:line="247" w:lineRule="auto"/>
            </w:pPr>
            <w:r>
              <w:rPr>
                <w:rFonts w:ascii="Arial" w:hAnsi="Arial"/>
                <w:b w:val="0"/>
                <w:color w:val="000000"/>
                <w:sz w:val="20"/>
              </w:rPr>
              <w:t>Willem / Marius</w:t>
            </w:r>
          </w:p>
        </w:tc>
      </w:tr>
      <w:tr>
        <w:trPr>
          <w:cantSplit/>
        </w:trPr>
        <w:tc>
          <w:tcPr>
            <w:tcW w:type="dxa" w:w="2448"/>
            <w:vAlign w:val="center"/>
            <w:shd w:fill="FFFFFF"/>
            <w:tcBorders>
              <w:bottom w:val="single" w:sz="4" w:color="D6CEC3"/>
            </w:tcBorders>
          </w:tcPr>
          <w:p>
            <w:pPr>
              <w:spacing w:before="100" w:after="100" w:line="247" w:lineRule="auto"/>
            </w:pPr>
            <w:r>
              <w:rPr>
                <w:rFonts w:ascii="Arial" w:hAnsi="Arial"/>
                <w:b w:val="0"/>
                <w:color w:val="000000"/>
                <w:sz w:val="20"/>
              </w:rPr>
              <w:t>Weeks 3–6: specify</w:t>
            </w:r>
          </w:p>
        </w:tc>
        <w:tc>
          <w:tcPr>
            <w:tcW w:type="dxa" w:w="6120"/>
            <w:vAlign w:val="center"/>
            <w:shd w:fill="FFFFFF"/>
            <w:tcBorders>
              <w:bottom w:val="single" w:sz="4" w:color="D6CEC3"/>
            </w:tcBorders>
          </w:tcPr>
          <w:p>
            <w:pPr>
              <w:spacing w:before="100" w:after="100" w:line="247" w:lineRule="auto"/>
            </w:pPr>
            <w:r>
              <w:rPr>
                <w:rFonts w:ascii="Arial" w:hAnsi="Arial"/>
                <w:b w:val="0"/>
                <w:color w:val="000000"/>
                <w:sz w:val="20"/>
              </w:rPr>
              <w:t>Final measured layout, electrical load study, bathroom/access approval, supplier trials and comparable fit-out quotations.</w:t>
            </w:r>
          </w:p>
        </w:tc>
        <w:tc>
          <w:tcPr>
            <w:tcW w:type="dxa" w:w="1512"/>
            <w:vAlign w:val="center"/>
            <w:shd w:fill="FFFFFF"/>
            <w:tcBorders>
              <w:bottom w:val="single" w:sz="4" w:color="D6CEC3"/>
            </w:tcBorders>
          </w:tcPr>
          <w:p>
            <w:pPr>
              <w:spacing w:before="100" w:after="100" w:line="247" w:lineRule="auto"/>
            </w:pPr>
            <w:r>
              <w:rPr>
                <w:rFonts w:ascii="Arial" w:hAnsi="Arial"/>
                <w:b w:val="0"/>
                <w:color w:val="000000"/>
                <w:sz w:val="20"/>
              </w:rPr>
              <w:t>Willem</w:t>
            </w:r>
          </w:p>
        </w:tc>
      </w:tr>
      <w:tr>
        <w:trPr>
          <w:cantSplit/>
        </w:trPr>
        <w:tc>
          <w:tcPr>
            <w:tcW w:type="dxa" w:w="2448"/>
            <w:vAlign w:val="center"/>
            <w:shd w:fill="F3EFE8"/>
            <w:tcBorders>
              <w:bottom w:val="single" w:sz="4" w:color="D6CEC3"/>
            </w:tcBorders>
          </w:tcPr>
          <w:p>
            <w:pPr>
              <w:spacing w:before="100" w:after="100" w:line="247" w:lineRule="auto"/>
            </w:pPr>
            <w:r>
              <w:rPr>
                <w:rFonts w:ascii="Arial" w:hAnsi="Arial"/>
                <w:b w:val="0"/>
                <w:color w:val="000000"/>
                <w:sz w:val="20"/>
              </w:rPr>
              <w:t>Before commitment</w:t>
            </w:r>
          </w:p>
        </w:tc>
        <w:tc>
          <w:tcPr>
            <w:tcW w:type="dxa" w:w="6120"/>
            <w:vAlign w:val="center"/>
            <w:shd w:fill="F3EFE8"/>
            <w:tcBorders>
              <w:bottom w:val="single" w:sz="4" w:color="D6CEC3"/>
            </w:tcBorders>
          </w:tcPr>
          <w:p>
            <w:pPr>
              <w:spacing w:before="100" w:after="100" w:line="247" w:lineRule="auto"/>
            </w:pPr>
            <w:r>
              <w:rPr>
                <w:rFonts w:ascii="Arial" w:hAnsi="Arial"/>
                <w:b w:val="0"/>
                <w:color w:val="000000"/>
                <w:sz w:val="20"/>
              </w:rPr>
              <w:t>Written legal/tax opinion; approved funding sources; signed scope and cash contingency; landlord permissions.</w:t>
            </w:r>
          </w:p>
        </w:tc>
        <w:tc>
          <w:tcPr>
            <w:tcW w:type="dxa" w:w="1512"/>
            <w:vAlign w:val="center"/>
            <w:shd w:fill="F3EFE8"/>
            <w:tcBorders>
              <w:bottom w:val="single" w:sz="4" w:color="D6CEC3"/>
            </w:tcBorders>
          </w:tcPr>
          <w:p>
            <w:pPr>
              <w:spacing w:before="100" w:after="100" w:line="247" w:lineRule="auto"/>
            </w:pPr>
            <w:r>
              <w:rPr>
                <w:rFonts w:ascii="Arial" w:hAnsi="Arial"/>
                <w:b w:val="0"/>
                <w:color w:val="000000"/>
                <w:sz w:val="20"/>
              </w:rPr>
              <w:t>Marius</w:t>
            </w:r>
          </w:p>
        </w:tc>
      </w:tr>
      <w:tr>
        <w:trPr>
          <w:cantSplit/>
        </w:trPr>
        <w:tc>
          <w:tcPr>
            <w:tcW w:type="dxa" w:w="2448"/>
            <w:vAlign w:val="center"/>
            <w:shd w:fill="FFFFFF"/>
            <w:tcBorders>
              <w:bottom w:val="single" w:sz="4" w:color="D6CEC3"/>
            </w:tcBorders>
          </w:tcPr>
          <w:p>
            <w:pPr>
              <w:spacing w:before="100" w:after="100" w:line="247" w:lineRule="auto"/>
            </w:pPr>
            <w:r>
              <w:rPr>
                <w:rFonts w:ascii="Arial" w:hAnsi="Arial"/>
                <w:b w:val="0"/>
                <w:color w:val="000000"/>
                <w:sz w:val="20"/>
              </w:rPr>
              <w:t>Weeks 6–12: build</w:t>
            </w:r>
          </w:p>
        </w:tc>
        <w:tc>
          <w:tcPr>
            <w:tcW w:type="dxa" w:w="6120"/>
            <w:vAlign w:val="center"/>
            <w:shd w:fill="FFFFFF"/>
            <w:tcBorders>
              <w:bottom w:val="single" w:sz="4" w:color="D6CEC3"/>
            </w:tcBorders>
          </w:tcPr>
          <w:p>
            <w:pPr>
              <w:spacing w:before="100" w:after="100" w:line="247" w:lineRule="auto"/>
            </w:pPr>
            <w:r>
              <w:rPr>
                <w:rFonts w:ascii="Arial" w:hAnsi="Arial"/>
                <w:b w:val="0"/>
                <w:color w:val="000000"/>
                <w:sz w:val="20"/>
              </w:rPr>
              <w:t>Fit-out, equipment installation, signage, POS setup, hiring and documented food-control procedures.</w:t>
            </w:r>
          </w:p>
        </w:tc>
        <w:tc>
          <w:tcPr>
            <w:tcW w:type="dxa" w:w="1512"/>
            <w:vAlign w:val="center"/>
            <w:shd w:fill="FFFFFF"/>
            <w:tcBorders>
              <w:bottom w:val="single" w:sz="4" w:color="D6CEC3"/>
            </w:tcBorders>
          </w:tcPr>
          <w:p>
            <w:pPr>
              <w:spacing w:before="100" w:after="100" w:line="247" w:lineRule="auto"/>
            </w:pPr>
            <w:r>
              <w:rPr>
                <w:rFonts w:ascii="Arial" w:hAnsi="Arial"/>
                <w:b w:val="0"/>
                <w:color w:val="000000"/>
                <w:sz w:val="20"/>
              </w:rPr>
              <w:t>Willem</w:t>
            </w:r>
          </w:p>
        </w:tc>
      </w:tr>
      <w:tr>
        <w:trPr>
          <w:cantSplit/>
        </w:trPr>
        <w:tc>
          <w:tcPr>
            <w:tcW w:type="dxa" w:w="2448"/>
            <w:vAlign w:val="center"/>
            <w:shd w:fill="F3EFE8"/>
            <w:tcBorders>
              <w:bottom w:val="single" w:sz="4" w:color="D6CEC3"/>
            </w:tcBorders>
          </w:tcPr>
          <w:p>
            <w:pPr>
              <w:spacing w:before="100" w:after="100" w:line="247" w:lineRule="auto"/>
            </w:pPr>
            <w:r>
              <w:rPr>
                <w:rFonts w:ascii="Arial" w:hAnsi="Arial"/>
                <w:b w:val="0"/>
                <w:color w:val="000000"/>
                <w:sz w:val="20"/>
              </w:rPr>
              <w:t>Weeks 11–14: prepare</w:t>
            </w:r>
          </w:p>
        </w:tc>
        <w:tc>
          <w:tcPr>
            <w:tcW w:type="dxa" w:w="6120"/>
            <w:vAlign w:val="center"/>
            <w:shd w:fill="F3EFE8"/>
            <w:tcBorders>
              <w:bottom w:val="single" w:sz="4" w:color="D6CEC3"/>
            </w:tcBorders>
          </w:tcPr>
          <w:p>
            <w:pPr>
              <w:spacing w:before="100" w:after="100" w:line="247" w:lineRule="auto"/>
            </w:pPr>
            <w:r>
              <w:rPr>
                <w:rFonts w:ascii="Arial" w:hAnsi="Arial"/>
                <w:b w:val="0"/>
                <w:color w:val="000000"/>
                <w:sz w:val="20"/>
              </w:rPr>
              <w:t>Training, roster and relief, test service, stock calibration, insurance, food-premises approvals.</w:t>
            </w:r>
          </w:p>
        </w:tc>
        <w:tc>
          <w:tcPr>
            <w:tcW w:type="dxa" w:w="1512"/>
            <w:vAlign w:val="center"/>
            <w:shd w:fill="F3EFE8"/>
            <w:tcBorders>
              <w:bottom w:val="single" w:sz="4" w:color="D6CEC3"/>
            </w:tcBorders>
          </w:tcPr>
          <w:p>
            <w:pPr>
              <w:spacing w:before="100" w:after="100" w:line="247" w:lineRule="auto"/>
            </w:pPr>
            <w:r>
              <w:rPr>
                <w:rFonts w:ascii="Arial" w:hAnsi="Arial"/>
                <w:b w:val="0"/>
                <w:color w:val="000000"/>
                <w:sz w:val="20"/>
              </w:rPr>
              <w:t>Willem</w:t>
            </w:r>
          </w:p>
        </w:tc>
      </w:tr>
      <w:tr>
        <w:trPr>
          <w:cantSplit/>
        </w:trPr>
        <w:tc>
          <w:tcPr>
            <w:tcW w:type="dxa" w:w="2448"/>
            <w:vAlign w:val="center"/>
            <w:shd w:fill="FFFFFF"/>
            <w:tcBorders>
              <w:bottom w:val="single" w:sz="4" w:color="D6CEC3"/>
            </w:tcBorders>
          </w:tcPr>
          <w:p>
            <w:pPr>
              <w:spacing w:before="100" w:after="100" w:line="247" w:lineRule="auto"/>
            </w:pPr>
            <w:r>
              <w:rPr>
                <w:rFonts w:ascii="Arial" w:hAnsi="Arial"/>
                <w:b w:val="0"/>
                <w:color w:val="000000"/>
                <w:sz w:val="20"/>
              </w:rPr>
              <w:t>Opening + 90 days</w:t>
            </w:r>
          </w:p>
        </w:tc>
        <w:tc>
          <w:tcPr>
            <w:tcW w:type="dxa" w:w="6120"/>
            <w:vAlign w:val="center"/>
            <w:shd w:fill="FFFFFF"/>
            <w:tcBorders>
              <w:bottom w:val="single" w:sz="4" w:color="D6CEC3"/>
            </w:tcBorders>
          </w:tcPr>
          <w:p>
            <w:pPr>
              <w:spacing w:before="100" w:after="100" w:line="247" w:lineRule="auto"/>
            </w:pPr>
            <w:r>
              <w:rPr>
                <w:rFonts w:ascii="Arial" w:hAnsi="Arial"/>
                <w:b w:val="0"/>
                <w:color w:val="000000"/>
                <w:sz w:val="20"/>
              </w:rPr>
              <w:t>Soft opening; weekly GP and cash review; staffing and pastry orders adjusted to actual demand.</w:t>
            </w:r>
          </w:p>
        </w:tc>
        <w:tc>
          <w:tcPr>
            <w:tcW w:type="dxa" w:w="1512"/>
            <w:vAlign w:val="center"/>
            <w:shd w:fill="FFFFFF"/>
            <w:tcBorders>
              <w:bottom w:val="single" w:sz="4" w:color="D6CEC3"/>
            </w:tcBorders>
          </w:tcPr>
          <w:p>
            <w:pPr>
              <w:spacing w:before="100" w:after="100" w:line="247" w:lineRule="auto"/>
            </w:pPr>
            <w:r>
              <w:rPr>
                <w:rFonts w:ascii="Arial" w:hAnsi="Arial"/>
                <w:b w:val="0"/>
                <w:color w:val="000000"/>
                <w:sz w:val="20"/>
              </w:rPr>
              <w:t>Both</w:t>
            </w:r>
          </w:p>
        </w:tc>
      </w:tr>
    </w:tbl>
    <w:p/>
    <w:p>
      <w:pPr>
        <w:pStyle w:val="Heading2"/>
      </w:pPr>
      <w:r>
        <w:t>Commitment conditions</w:t>
      </w:r>
    </w:p>
    <w:p>
      <w:r>
        <w:t>Proceed only with a site-specific transaction case, a credible full funding source, personal cash runway, and satisfactory legal/health advice. Set a firm capex ceiling from measured quotations. If rent approaches R26,000 excluding VAT, demand must support the higher break-even; do not assume the base lease economics still apply.</w:t>
      </w:r>
    </w:p>
    <w:p>
      <w:r>
        <w:t>After opening, compare rolling four-week sales with the conservative and expected curves. Trigger immediate cash and menu review if the company approaches its minimum reserve, the next three months cannot be funded, or gross margin persistently misses recipe expectations. Decide cost reductions or recapitalisation before cash is exhausted. Additional equity may affect the proposed sole-shareholder and tax arrangements.</w:t>
      </w:r>
    </w:p>
    <w:p>
      <w:pPr>
        <w:pStyle w:val="Caption"/>
        <w:pageBreakBefore/>
      </w:pPr>
      <w:r>
        <w:t>15  /  COWBOY CAFE</w:t>
      </w:r>
    </w:p>
    <w:p>
      <w:pPr>
        <w:pStyle w:val="Heading1"/>
      </w:pPr>
      <w:r>
        <w:t>Model guide and verification</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shd w:fill="29251F"/>
            <w:tcBorders>
              <w:bottom w:val="single" w:sz="4" w:color="D6CEC3"/>
            </w:tcBorders>
          </w:tcPr>
          <w:p>
            <w:pPr>
              <w:spacing w:before="100" w:after="100" w:line="247" w:lineRule="auto"/>
            </w:pPr>
            <w:r>
              <w:rPr>
                <w:rFonts w:ascii="Arial" w:hAnsi="Arial"/>
                <w:b/>
                <w:color w:val="FFFFFF"/>
                <w:sz w:val="20"/>
              </w:rPr>
              <w:t>Workbook tab</w:t>
            </w:r>
          </w:p>
        </w:tc>
        <w:tc>
          <w:tcPr>
            <w:tcW w:type="dxa" w:w="7704"/>
            <w:vAlign w:val="center"/>
            <w:shd w:fill="29251F"/>
            <w:tcBorders>
              <w:bottom w:val="single" w:sz="4" w:color="D6CEC3"/>
            </w:tcBorders>
          </w:tcPr>
          <w:p>
            <w:pPr>
              <w:spacing w:before="100" w:after="100" w:line="247" w:lineRule="auto"/>
            </w:pPr>
            <w:r>
              <w:rPr>
                <w:rFonts w:ascii="Arial" w:hAnsi="Arial"/>
                <w:b/>
                <w:color w:val="FFFFFF"/>
                <w:sz w:val="20"/>
              </w:rPr>
              <w:t>Purpose</w:t>
            </w:r>
          </w:p>
        </w:tc>
      </w:tr>
      <w:tr>
        <w:trPr>
          <w:cantSplit/>
        </w:trPr>
        <w:tc>
          <w:tcPr>
            <w:tcW w:type="dxa" w:w="2376"/>
            <w:vAlign w:val="center"/>
            <w:shd w:fill="F3EFE8"/>
            <w:tcBorders>
              <w:bottom w:val="single" w:sz="4" w:color="D6CEC3"/>
            </w:tcBorders>
          </w:tcPr>
          <w:p>
            <w:pPr>
              <w:spacing w:before="100" w:after="100" w:line="247" w:lineRule="auto"/>
            </w:pPr>
            <w:r>
              <w:rPr>
                <w:rFonts w:ascii="Arial" w:hAnsi="Arial"/>
                <w:b w:val="0"/>
                <w:color w:val="000000"/>
                <w:sz w:val="20"/>
              </w:rPr>
              <w:t>Overview</w:t>
            </w:r>
          </w:p>
        </w:tc>
        <w:tc>
          <w:tcPr>
            <w:tcW w:type="dxa" w:w="7704"/>
            <w:vAlign w:val="center"/>
            <w:shd w:fill="F3EFE8"/>
            <w:tcBorders>
              <w:bottom w:val="single" w:sz="4" w:color="D6CEC3"/>
            </w:tcBorders>
          </w:tcPr>
          <w:p>
            <w:pPr>
              <w:spacing w:before="100" w:after="100" w:line="247" w:lineRule="auto"/>
            </w:pPr>
            <w:r>
              <w:rPr>
                <w:rFonts w:ascii="Arial" w:hAnsi="Arial"/>
                <w:b w:val="0"/>
                <w:color w:val="000000"/>
                <w:sz w:val="20"/>
              </w:rPr>
              <w:t>Active-case KPIs, annual results and cash/EBITDA chart.</w:t>
            </w:r>
          </w:p>
        </w:tc>
      </w:tr>
      <w:tr>
        <w:trPr>
          <w:cantSplit/>
        </w:trPr>
        <w:tc>
          <w:tcPr>
            <w:tcW w:type="dxa" w:w="2376"/>
            <w:vAlign w:val="center"/>
            <w:shd w:fill="FFFFFF"/>
            <w:tcBorders>
              <w:bottom w:val="single" w:sz="4" w:color="D6CEC3"/>
            </w:tcBorders>
          </w:tcPr>
          <w:p>
            <w:pPr>
              <w:spacing w:before="100" w:after="100" w:line="247" w:lineRule="auto"/>
            </w:pPr>
            <w:r>
              <w:rPr>
                <w:rFonts w:ascii="Arial" w:hAnsi="Arial"/>
                <w:b w:val="0"/>
                <w:color w:val="000000"/>
                <w:sz w:val="20"/>
              </w:rPr>
              <w:t>Assumptions</w:t>
            </w:r>
          </w:p>
        </w:tc>
        <w:tc>
          <w:tcPr>
            <w:tcW w:type="dxa" w:w="7704"/>
            <w:vAlign w:val="center"/>
            <w:shd w:fill="FFFFFF"/>
            <w:tcBorders>
              <w:bottom w:val="single" w:sz="4" w:color="D6CEC3"/>
            </w:tcBorders>
          </w:tcPr>
          <w:p>
            <w:pPr>
              <w:spacing w:before="100" w:after="100" w:line="247" w:lineRule="auto"/>
            </w:pPr>
            <w:r>
              <w:rPr>
                <w:rFonts w:ascii="Arial" w:hAnsi="Arial"/>
                <w:b w:val="0"/>
                <w:color w:val="000000"/>
                <w:sz w:val="20"/>
              </w:rPr>
              <w:t>Scenario selector, launch year, VAT/tax, finance and operating inputs; source notes.</w:t>
            </w:r>
          </w:p>
        </w:tc>
      </w:tr>
      <w:tr>
        <w:trPr>
          <w:cantSplit/>
        </w:trPr>
        <w:tc>
          <w:tcPr>
            <w:tcW w:type="dxa" w:w="2376"/>
            <w:vAlign w:val="center"/>
            <w:shd w:fill="F3EFE8"/>
            <w:tcBorders>
              <w:bottom w:val="single" w:sz="4" w:color="D6CEC3"/>
            </w:tcBorders>
          </w:tcPr>
          <w:p>
            <w:pPr>
              <w:spacing w:before="100" w:after="100" w:line="247" w:lineRule="auto"/>
            </w:pPr>
            <w:r>
              <w:rPr>
                <w:rFonts w:ascii="Arial" w:hAnsi="Arial"/>
                <w:b w:val="0"/>
                <w:color w:val="000000"/>
                <w:sz w:val="20"/>
              </w:rPr>
              <w:t>Menu economics</w:t>
            </w:r>
          </w:p>
        </w:tc>
        <w:tc>
          <w:tcPr>
            <w:tcW w:type="dxa" w:w="7704"/>
            <w:vAlign w:val="center"/>
            <w:shd w:fill="F3EFE8"/>
            <w:tcBorders>
              <w:bottom w:val="single" w:sz="4" w:color="D6CEC3"/>
            </w:tcBorders>
          </w:tcPr>
          <w:p>
            <w:pPr>
              <w:spacing w:before="100" w:after="100" w:line="247" w:lineRule="auto"/>
            </w:pPr>
            <w:r>
              <w:rPr>
                <w:rFonts w:ascii="Arial" w:hAnsi="Arial"/>
                <w:b w:val="0"/>
                <w:color w:val="000000"/>
                <w:sz w:val="20"/>
              </w:rPr>
              <w:t>Recipe-level costs, drink mix, pastry attachment and contribution.</w:t>
            </w:r>
          </w:p>
        </w:tc>
      </w:tr>
      <w:tr>
        <w:trPr>
          <w:cantSplit/>
        </w:trPr>
        <w:tc>
          <w:tcPr>
            <w:tcW w:type="dxa" w:w="2376"/>
            <w:vAlign w:val="center"/>
            <w:shd w:fill="FFFFFF"/>
            <w:tcBorders>
              <w:bottom w:val="single" w:sz="4" w:color="D6CEC3"/>
            </w:tcBorders>
          </w:tcPr>
          <w:p>
            <w:pPr>
              <w:spacing w:before="100" w:after="100" w:line="247" w:lineRule="auto"/>
            </w:pPr>
            <w:r>
              <w:rPr>
                <w:rFonts w:ascii="Arial" w:hAnsi="Arial"/>
                <w:b w:val="0"/>
                <w:color w:val="000000"/>
                <w:sz w:val="20"/>
              </w:rPr>
              <w:t>Startup</w:t>
            </w:r>
          </w:p>
        </w:tc>
        <w:tc>
          <w:tcPr>
            <w:tcW w:type="dxa" w:w="7704"/>
            <w:vAlign w:val="center"/>
            <w:shd w:fill="FFFFFF"/>
            <w:tcBorders>
              <w:bottom w:val="single" w:sz="4" w:color="D6CEC3"/>
            </w:tcBorders>
          </w:tcPr>
          <w:p>
            <w:pPr>
              <w:spacing w:before="100" w:after="100" w:line="247" w:lineRule="auto"/>
            </w:pPr>
            <w:r>
              <w:rPr>
                <w:rFonts w:ascii="Arial" w:hAnsi="Arial"/>
                <w:b w:val="0"/>
                <w:color w:val="000000"/>
                <w:sz w:val="20"/>
              </w:rPr>
              <w:t>Low/base/high capex, contingency, pre-opening costs and initial funding.</w:t>
            </w:r>
          </w:p>
        </w:tc>
      </w:tr>
      <w:tr>
        <w:trPr>
          <w:cantSplit/>
        </w:trPr>
        <w:tc>
          <w:tcPr>
            <w:tcW w:type="dxa" w:w="2376"/>
            <w:vAlign w:val="center"/>
            <w:shd w:fill="F3EFE8"/>
            <w:tcBorders>
              <w:bottom w:val="single" w:sz="4" w:color="D6CEC3"/>
            </w:tcBorders>
          </w:tcPr>
          <w:p>
            <w:pPr>
              <w:spacing w:before="100" w:after="100" w:line="247" w:lineRule="auto"/>
            </w:pPr>
            <w:r>
              <w:rPr>
                <w:rFonts w:ascii="Arial" w:hAnsi="Arial"/>
                <w:b w:val="0"/>
                <w:color w:val="000000"/>
                <w:sz w:val="20"/>
              </w:rPr>
              <w:t>Operating costs</w:t>
            </w:r>
          </w:p>
        </w:tc>
        <w:tc>
          <w:tcPr>
            <w:tcW w:type="dxa" w:w="7704"/>
            <w:vAlign w:val="center"/>
            <w:shd w:fill="F3EFE8"/>
            <w:tcBorders>
              <w:bottom w:val="single" w:sz="4" w:color="D6CEC3"/>
            </w:tcBorders>
          </w:tcPr>
          <w:p>
            <w:pPr>
              <w:spacing w:before="100" w:after="100" w:line="247" w:lineRule="auto"/>
            </w:pPr>
            <w:r>
              <w:rPr>
                <w:rFonts w:ascii="Arial" w:hAnsi="Arial"/>
                <w:b w:val="0"/>
                <w:color w:val="000000"/>
                <w:sz w:val="20"/>
              </w:rPr>
              <w:t>Rent, fixed costs, payroll, relief and capacity.</w:t>
            </w:r>
          </w:p>
        </w:tc>
      </w:tr>
      <w:tr>
        <w:trPr>
          <w:cantSplit/>
        </w:trPr>
        <w:tc>
          <w:tcPr>
            <w:tcW w:type="dxa" w:w="2376"/>
            <w:vAlign w:val="center"/>
            <w:shd w:fill="FFFFFF"/>
            <w:tcBorders>
              <w:bottom w:val="single" w:sz="4" w:color="D6CEC3"/>
            </w:tcBorders>
          </w:tcPr>
          <w:p>
            <w:pPr>
              <w:spacing w:before="100" w:after="100" w:line="247" w:lineRule="auto"/>
            </w:pPr>
            <w:r>
              <w:rPr>
                <w:rFonts w:ascii="Arial" w:hAnsi="Arial"/>
                <w:b w:val="0"/>
                <w:color w:val="000000"/>
                <w:sz w:val="20"/>
              </w:rPr>
              <w:t>Monthly forecast</w:t>
            </w:r>
          </w:p>
        </w:tc>
        <w:tc>
          <w:tcPr>
            <w:tcW w:type="dxa" w:w="7704"/>
            <w:vAlign w:val="center"/>
            <w:shd w:fill="FFFFFF"/>
            <w:tcBorders>
              <w:bottom w:val="single" w:sz="4" w:color="D6CEC3"/>
            </w:tcBorders>
          </w:tcPr>
          <w:p>
            <w:pPr>
              <w:spacing w:before="100" w:after="100" w:line="247" w:lineRule="auto"/>
            </w:pPr>
            <w:r>
              <w:rPr>
                <w:rFonts w:ascii="Arial" w:hAnsi="Arial"/>
                <w:b w:val="0"/>
                <w:color w:val="000000"/>
                <w:sz w:val="20"/>
              </w:rPr>
              <w:t>36-month profit, cash, founder-loan and balance-sheet schedules.</w:t>
            </w:r>
          </w:p>
        </w:tc>
      </w:tr>
      <w:tr>
        <w:trPr>
          <w:cantSplit/>
        </w:trPr>
        <w:tc>
          <w:tcPr>
            <w:tcW w:type="dxa" w:w="2376"/>
            <w:vAlign w:val="center"/>
            <w:shd w:fill="F3EFE8"/>
            <w:tcBorders>
              <w:bottom w:val="single" w:sz="4" w:color="D6CEC3"/>
            </w:tcBorders>
          </w:tcPr>
          <w:p>
            <w:pPr>
              <w:spacing w:before="100" w:after="100" w:line="247" w:lineRule="auto"/>
            </w:pPr>
            <w:r>
              <w:rPr>
                <w:rFonts w:ascii="Arial" w:hAnsi="Arial"/>
                <w:b w:val="0"/>
                <w:color w:val="000000"/>
                <w:sz w:val="20"/>
              </w:rPr>
              <w:t>Annual tax</w:t>
            </w:r>
          </w:p>
        </w:tc>
        <w:tc>
          <w:tcPr>
            <w:tcW w:type="dxa" w:w="7704"/>
            <w:vAlign w:val="center"/>
            <w:shd w:fill="F3EFE8"/>
            <w:tcBorders>
              <w:bottom w:val="single" w:sz="4" w:color="D6CEC3"/>
            </w:tcBorders>
          </w:tcPr>
          <w:p>
            <w:pPr>
              <w:spacing w:before="100" w:after="100" w:line="247" w:lineRule="auto"/>
            </w:pPr>
            <w:r>
              <w:rPr>
                <w:rFonts w:ascii="Arial" w:hAnsi="Arial"/>
                <w:b w:val="0"/>
                <w:color w:val="000000"/>
                <w:sz w:val="20"/>
              </w:rPr>
              <w:t>Conditional turnover-tax calculation and threshold checks.</w:t>
            </w:r>
          </w:p>
        </w:tc>
      </w:tr>
      <w:tr>
        <w:trPr>
          <w:cantSplit/>
        </w:trPr>
        <w:tc>
          <w:tcPr>
            <w:tcW w:type="dxa" w:w="2376"/>
            <w:vAlign w:val="center"/>
            <w:shd w:fill="FFFFFF"/>
            <w:tcBorders>
              <w:bottom w:val="single" w:sz="4" w:color="D6CEC3"/>
            </w:tcBorders>
          </w:tcPr>
          <w:p>
            <w:pPr>
              <w:spacing w:before="100" w:after="100" w:line="247" w:lineRule="auto"/>
            </w:pPr>
            <w:r>
              <w:rPr>
                <w:rFonts w:ascii="Arial" w:hAnsi="Arial"/>
                <w:b w:val="0"/>
                <w:color w:val="000000"/>
                <w:sz w:val="20"/>
              </w:rPr>
              <w:t>Funding</w:t>
            </w:r>
          </w:p>
        </w:tc>
        <w:tc>
          <w:tcPr>
            <w:tcW w:type="dxa" w:w="7704"/>
            <w:vAlign w:val="center"/>
            <w:shd w:fill="FFFFFF"/>
            <w:tcBorders>
              <w:bottom w:val="single" w:sz="4" w:color="D6CEC3"/>
            </w:tcBorders>
          </w:tcPr>
          <w:p>
            <w:pPr>
              <w:spacing w:before="100" w:after="100" w:line="247" w:lineRule="auto"/>
            </w:pPr>
            <w:r>
              <w:rPr>
                <w:rFonts w:ascii="Arial" w:hAnsi="Arial"/>
                <w:b w:val="0"/>
                <w:color w:val="000000"/>
                <w:sz w:val="20"/>
              </w:rPr>
              <w:t>Personal debt service and outside cash requirement, separately from the company.</w:t>
            </w:r>
          </w:p>
        </w:tc>
      </w:tr>
      <w:tr>
        <w:trPr>
          <w:cantSplit/>
        </w:trPr>
        <w:tc>
          <w:tcPr>
            <w:tcW w:type="dxa" w:w="2376"/>
            <w:vAlign w:val="center"/>
            <w:shd w:fill="F3EFE8"/>
            <w:tcBorders>
              <w:bottom w:val="single" w:sz="4" w:color="D6CEC3"/>
            </w:tcBorders>
          </w:tcPr>
          <w:p>
            <w:pPr>
              <w:spacing w:before="100" w:after="100" w:line="247" w:lineRule="auto"/>
            </w:pPr>
            <w:r>
              <w:rPr>
                <w:rFonts w:ascii="Arial" w:hAnsi="Arial"/>
                <w:b w:val="0"/>
                <w:color w:val="000000"/>
                <w:sz w:val="20"/>
              </w:rPr>
              <w:t>Review</w:t>
            </w:r>
          </w:p>
        </w:tc>
        <w:tc>
          <w:tcPr>
            <w:tcW w:type="dxa" w:w="7704"/>
            <w:vAlign w:val="center"/>
            <w:shd w:fill="F3EFE8"/>
            <w:tcBorders>
              <w:bottom w:val="single" w:sz="4" w:color="D6CEC3"/>
            </w:tcBorders>
          </w:tcPr>
          <w:p>
            <w:pPr>
              <w:spacing w:before="100" w:after="100" w:line="247" w:lineRule="auto"/>
            </w:pPr>
            <w:r>
              <w:rPr>
                <w:rFonts w:ascii="Arial" w:hAnsi="Arial"/>
                <w:b w:val="0"/>
                <w:color w:val="000000"/>
                <w:sz w:val="20"/>
              </w:rPr>
              <w:t>Reconciliation checks and additional funding requirement.</w:t>
            </w:r>
          </w:p>
        </w:tc>
      </w:tr>
    </w:tbl>
    <w:p/>
    <w:p>
      <w:r>
        <w:t>Blue cells are editable assumptions, green formulas link between worksheets and black formulas calculate locally. Start with Assumptions D4. Change observed supplier prices and contract terms in the blue cells; preserve formulas. A blank personal contribution limit means affordability is not yet established. The three scenario inputs do not alter the base capex automatically; capital ranges are a separate investment sensitivity.</w:t>
      </w:r>
    </w:p>
    <w:p>
      <w:r>
        <w:t>The issued model was recalculated under all three scenarios. Drink mix, seasonal factors, balance-sheet reconciliation and personal/founder loan movements reconcile within rounding. A higher-volume input and a zero personal interest rate were tested for recalculation, and the conditional turnover-tax option was tested. A formula-error scan found no error cells. These checks establish internal consistency, not certainty of future performance.</w:t>
      </w:r>
    </w:p>
    <w:p>
      <w:r>
        <w:t>Before a lending submission, add actual launch timing, approved finance draws, statutory tax/VAT payment dates, supplier VAT status, confirmed capital allowances and any founder remuneration. The current monthly tax provision uses accumulated loss offsets as a planning approximation. Refund delays, input VAT restrictions, accrued-interest tax timing and ordinary-tax loss utilisation need tax-practitioner review.</w:t>
      </w:r>
    </w:p>
    <w:p>
      <w:pPr>
        <w:pStyle w:val="Caption"/>
      </w:pPr>
      <w:r>
        <w:t>The principal assumptions and relevant source URLs are embedded in Excel. The following register records sources used for this issued plan; all accessed 7 September 2026.</w:t>
      </w:r>
    </w:p>
    <w:p>
      <w:pPr>
        <w:pStyle w:val="Caption"/>
        <w:pageBreakBefore/>
      </w:pPr>
      <w:r>
        <w:t>16  /  COWBOY CAFE</w:t>
      </w:r>
    </w:p>
    <w:p>
      <w:pPr>
        <w:pStyle w:val="Heading1"/>
      </w:pPr>
      <w:r>
        <w:t>Evidence register — commercial inputs</w:t>
      </w:r>
    </w:p>
    <w:p>
      <w:pPr>
        <w:keepNext/>
        <w:spacing w:before="140" w:after="60"/>
      </w:pPr>
      <w:r>
        <w:rPr>
          <w:b/>
          <w:sz w:val="22"/>
        </w:rPr>
        <w:t>S1  Plato official menu</w:t>
      </w:r>
    </w:p>
    <w:p>
      <w:pPr>
        <w:keepNext/>
        <w:spacing w:after="60"/>
      </w:pPr>
      <w:r>
        <w:rPr>
          <w:sz w:val="20"/>
        </w:rPr>
        <w:t>June 2026 retail price reference; size differences remain.</w:t>
      </w:r>
    </w:p>
    <w:p>
      <w:pPr>
        <w:pStyle w:val="Caption"/>
        <w:spacing w:after="100" w:line="240" w:lineRule="auto"/>
      </w:pPr>
      <w:r>
        <w:rPr>
          <w:b w:val="0"/>
          <w:sz w:val="18"/>
        </w:rPr>
        <w:t>https://plato.coffee/pages/our-menu</w:t>
      </w:r>
    </w:p>
    <w:p>
      <w:pPr>
        <w:keepNext/>
        <w:spacing w:before="140" w:after="60"/>
      </w:pPr>
      <w:r>
        <w:rPr>
          <w:b/>
          <w:sz w:val="22"/>
        </w:rPr>
        <w:t>S2  Hygge Hygge official menu</w:t>
      </w:r>
    </w:p>
    <w:p>
      <w:pPr>
        <w:keepNext/>
        <w:spacing w:after="60"/>
      </w:pPr>
      <w:r>
        <w:rPr>
          <w:sz w:val="20"/>
        </w:rPr>
        <w:t>Positioning reference; no unverified current price used.</w:t>
      </w:r>
    </w:p>
    <w:p>
      <w:pPr>
        <w:pStyle w:val="Caption"/>
        <w:spacing w:after="100" w:line="240" w:lineRule="auto"/>
      </w:pPr>
      <w:r>
        <w:rPr>
          <w:b w:val="0"/>
          <w:sz w:val="18"/>
        </w:rPr>
        <w:t>https://www.hyggestellenbosch.com/menu</w:t>
      </w:r>
    </w:p>
    <w:p>
      <w:pPr>
        <w:keepNext/>
        <w:spacing w:before="140" w:after="60"/>
      </w:pPr>
      <w:r>
        <w:rPr>
          <w:b/>
          <w:sz w:val="22"/>
        </w:rPr>
        <w:t>S3  Cape Coffee Beans wholesale catalogue</w:t>
      </w:r>
    </w:p>
    <w:p>
      <w:pPr>
        <w:keepNext/>
        <w:spacing w:after="60"/>
      </w:pPr>
      <w:r>
        <w:rPr>
          <w:sz w:val="20"/>
        </w:rPr>
        <w:t>Legado Journeyman 5 kg R2,199; model rounded to R440/kg.</w:t>
      </w:r>
    </w:p>
    <w:p>
      <w:pPr>
        <w:pStyle w:val="Caption"/>
        <w:spacing w:after="100" w:line="240" w:lineRule="auto"/>
      </w:pPr>
      <w:r>
        <w:rPr>
          <w:b w:val="0"/>
          <w:sz w:val="18"/>
        </w:rPr>
        <w:t>https://capecoffeebeans.co.za/collections/wholesale-coffee-beans</w:t>
      </w:r>
    </w:p>
    <w:p>
      <w:pPr>
        <w:keepNext/>
        <w:spacing w:before="140" w:after="60"/>
      </w:pPr>
      <w:r>
        <w:rPr>
          <w:b/>
          <w:sz w:val="22"/>
        </w:rPr>
        <w:t>S4  Paper Cups SA and Teva</w:t>
      </w:r>
    </w:p>
    <w:p>
      <w:pPr>
        <w:keepNext/>
        <w:spacing w:after="60"/>
      </w:pPr>
      <w:r>
        <w:rPr>
          <w:sz w:val="20"/>
        </w:rPr>
        <w:t>Custom hot cup R4.50; separate lids and cold-cup references.</w:t>
      </w:r>
    </w:p>
    <w:p>
      <w:pPr>
        <w:pStyle w:val="Caption"/>
        <w:spacing w:after="100" w:line="240" w:lineRule="auto"/>
      </w:pPr>
      <w:r>
        <w:rPr>
          <w:b w:val="0"/>
          <w:sz w:val="18"/>
        </w:rPr>
        <w:t>https://www.papercupsa.co.za/product-category/customized-cups/</w:t>
        <w:br/>
        <w:t>https://www.tevaint.co.za/</w:t>
      </w:r>
    </w:p>
    <w:p>
      <w:pPr>
        <w:keepNext/>
        <w:spacing w:before="140" w:after="60"/>
      </w:pPr>
      <w:r>
        <w:rPr>
          <w:b/>
          <w:sz w:val="22"/>
        </w:rPr>
        <w:t>S5  AH Property retail listing</w:t>
      </w:r>
    </w:p>
    <w:p>
      <w:pPr>
        <w:keepNext/>
        <w:spacing w:after="60"/>
      </w:pPr>
      <w:r>
        <w:rPr>
          <w:sz w:val="20"/>
        </w:rPr>
        <w:t>48 m² central listing R25,920/month ex VAT; suitability unconfirmed.</w:t>
      </w:r>
    </w:p>
    <w:p>
      <w:pPr>
        <w:pStyle w:val="Caption"/>
        <w:spacing w:after="100" w:line="240" w:lineRule="auto"/>
      </w:pPr>
      <w:r>
        <w:rPr>
          <w:b w:val="0"/>
          <w:sz w:val="18"/>
        </w:rPr>
        <w:t>https://www.ahproperty.co.za/results/retail/to-let/stellenbosch/stellenbosch-central/retail/250371/</w:t>
      </w:r>
    </w:p>
    <w:p>
      <w:pPr>
        <w:keepNext/>
        <w:spacing w:before="140" w:after="60"/>
      </w:pPr>
      <w:r>
        <w:rPr>
          <w:b/>
          <w:sz w:val="22"/>
        </w:rPr>
        <w:t>S6  Matcha Move wholesale / SANRAE retail</w:t>
      </w:r>
    </w:p>
    <w:p>
      <w:pPr>
        <w:keepNext/>
        <w:spacing w:after="60"/>
      </w:pPr>
      <w:r>
        <w:rPr>
          <w:sz w:val="20"/>
        </w:rPr>
        <w:t>Wholesale requires quotation; R3,500/kg is an assumption. Retail stress R550/50g.</w:t>
      </w:r>
    </w:p>
    <w:p>
      <w:pPr>
        <w:pStyle w:val="Caption"/>
        <w:spacing w:after="100" w:line="240" w:lineRule="auto"/>
      </w:pPr>
      <w:r>
        <w:rPr>
          <w:b w:val="0"/>
          <w:sz w:val="18"/>
        </w:rPr>
        <w:t>https://www.matchamove.com/pages/wholesale</w:t>
        <w:br/>
        <w:t>https://sanraewellness.com/products/sanrae-ceremonial-matcha-50g</w:t>
      </w:r>
    </w:p>
    <w:p>
      <w:pPr>
        <w:keepNext/>
        <w:spacing w:before="140" w:after="60"/>
      </w:pPr>
      <w:r>
        <w:rPr>
          <w:b/>
          <w:sz w:val="22"/>
        </w:rPr>
        <w:t>S7  Buna commercial bundles</w:t>
      </w:r>
    </w:p>
    <w:p>
      <w:pPr>
        <w:keepNext/>
        <w:spacing w:after="60"/>
      </w:pPr>
      <w:r>
        <w:rPr>
          <w:sz w:val="20"/>
        </w:rPr>
        <w:t>New machine/grinder references R92,015 / R109,035 / R160,100.</w:t>
      </w:r>
    </w:p>
    <w:p>
      <w:pPr>
        <w:pStyle w:val="Caption"/>
        <w:spacing w:after="100" w:line="240" w:lineRule="auto"/>
      </w:pPr>
      <w:r>
        <w:rPr>
          <w:b w:val="0"/>
          <w:sz w:val="18"/>
        </w:rPr>
        <w:t>https://www.bunacoffee.co.za/pages/rent-to-own-commercial-coffee-machine-bundles</w:t>
      </w:r>
    </w:p>
    <w:p>
      <w:pPr>
        <w:keepNext/>
        <w:spacing w:before="140" w:after="60"/>
      </w:pPr>
      <w:r>
        <w:rPr>
          <w:b/>
          <w:sz w:val="22"/>
        </w:rPr>
        <w:t>S8  Yoco pricing and Xero plans</w:t>
      </w:r>
    </w:p>
    <w:p>
      <w:pPr>
        <w:keepNext/>
        <w:spacing w:after="60"/>
      </w:pPr>
      <w:r>
        <w:rPr>
          <w:sz w:val="20"/>
        </w:rPr>
        <w:t>Card fee and POS plan reference; Xero is a budgeting allowance.</w:t>
      </w:r>
    </w:p>
    <w:p>
      <w:pPr>
        <w:pStyle w:val="Caption"/>
        <w:spacing w:after="100" w:line="240" w:lineRule="auto"/>
      </w:pPr>
      <w:r>
        <w:rPr>
          <w:b w:val="0"/>
          <w:sz w:val="18"/>
        </w:rPr>
        <w:t>https://www.yoco.com/za/pricing/</w:t>
        <w:br/>
        <w:t>https://www.xero.com/za/pricing-plans/</w:t>
      </w:r>
    </w:p>
    <w:p>
      <w:pPr>
        <w:keepNext/>
        <w:spacing w:before="140" w:after="60"/>
      </w:pPr>
      <w:r>
        <w:rPr>
          <w:b/>
          <w:sz w:val="22"/>
        </w:rPr>
        <w:t>S9  Absa personal loans</w:t>
      </w:r>
    </w:p>
    <w:p>
      <w:pPr>
        <w:keepNext/>
        <w:spacing w:after="60"/>
      </w:pPr>
      <w:r>
        <w:rPr>
          <w:sz w:val="20"/>
        </w:rPr>
        <w:t>Up to R350,000, 12–84 months, individual pricing and credit-life requirement.</w:t>
      </w:r>
    </w:p>
    <w:p>
      <w:pPr>
        <w:pStyle w:val="Caption"/>
        <w:spacing w:after="100" w:line="240" w:lineRule="auto"/>
      </w:pPr>
      <w:r>
        <w:rPr>
          <w:b w:val="0"/>
          <w:sz w:val="18"/>
        </w:rPr>
        <w:t>https://www.absa.co.za/personal/loans/for-myself/personal-loan/</w:t>
      </w:r>
    </w:p>
    <w:p>
      <w:pPr>
        <w:pStyle w:val="Caption"/>
        <w:pageBreakBefore/>
      </w:pPr>
      <w:r>
        <w:t>17  /  COWBOY CAFE</w:t>
      </w:r>
    </w:p>
    <w:p>
      <w:pPr>
        <w:pStyle w:val="Heading1"/>
      </w:pPr>
      <w:r>
        <w:t>Evidence register — people, tax and approvals</w:t>
      </w:r>
    </w:p>
    <w:p>
      <w:pPr>
        <w:keepNext/>
        <w:spacing w:before="140" w:after="60"/>
      </w:pPr>
      <w:r>
        <w:rPr>
          <w:b/>
          <w:sz w:val="22"/>
        </w:rPr>
        <w:t>S10  Department of Employment and Labour</w:t>
      </w:r>
    </w:p>
    <w:p>
      <w:pPr>
        <w:keepNext/>
        <w:spacing w:after="60"/>
      </w:pPr>
      <w:r>
        <w:rPr>
          <w:sz w:val="20"/>
        </w:rPr>
        <w:t>2026 national minimum wage R30.23/hour.</w:t>
      </w:r>
    </w:p>
    <w:p>
      <w:pPr>
        <w:pStyle w:val="Caption"/>
        <w:spacing w:after="100" w:line="240" w:lineRule="auto"/>
      </w:pPr>
      <w:r>
        <w:rPr>
          <w:b w:val="0"/>
          <w:sz w:val="18"/>
        </w:rPr>
        <w:t>https://www.labour.gov.za/Media-Desk/Media-Statements/Pages/Minister-of-Employment-and-Labour%2C-Meth-increases-the-statutory-National-Minimum-Wage-to-R30%2C23-per-hour.aspx</w:t>
      </w:r>
    </w:p>
    <w:p>
      <w:pPr>
        <w:keepNext/>
        <w:spacing w:before="140" w:after="60"/>
      </w:pPr>
      <w:r>
        <w:rPr>
          <w:b/>
          <w:sz w:val="22"/>
        </w:rPr>
        <w:t>S11  Western Cape Government: BCEA</w:t>
      </w:r>
    </w:p>
    <w:p>
      <w:pPr>
        <w:keepNext/>
        <w:spacing w:after="60"/>
      </w:pPr>
      <w:r>
        <w:rPr>
          <w:sz w:val="20"/>
        </w:rPr>
        <w:t>Ordinary hours, breaks, rest and Sunday work.</w:t>
      </w:r>
    </w:p>
    <w:p>
      <w:pPr>
        <w:pStyle w:val="Caption"/>
        <w:spacing w:after="100" w:line="240" w:lineRule="auto"/>
      </w:pPr>
      <w:r>
        <w:rPr>
          <w:b w:val="0"/>
          <w:sz w:val="18"/>
        </w:rPr>
        <w:t>https://www.westerncape.gov.za/basic-conditions-employment-act</w:t>
      </w:r>
    </w:p>
    <w:p>
      <w:pPr>
        <w:keepNext/>
        <w:spacing w:before="140" w:after="60"/>
      </w:pPr>
      <w:r>
        <w:rPr>
          <w:b/>
          <w:sz w:val="22"/>
        </w:rPr>
        <w:t>S12  The Neighborhood Barista</w:t>
      </w:r>
    </w:p>
    <w:p>
      <w:pPr>
        <w:keepNext/>
        <w:spacing w:after="60"/>
      </w:pPr>
      <w:r>
        <w:rPr>
          <w:sz w:val="20"/>
        </w:rPr>
        <w:t>Training benchmark; R12,000 opening allowance for three.</w:t>
      </w:r>
    </w:p>
    <w:p>
      <w:pPr>
        <w:pStyle w:val="Caption"/>
        <w:spacing w:after="100" w:line="240" w:lineRule="auto"/>
      </w:pPr>
      <w:r>
        <w:rPr>
          <w:b w:val="0"/>
          <w:sz w:val="18"/>
        </w:rPr>
        <w:t>https://www.theneighborhoodbarista.com/services</w:t>
      </w:r>
    </w:p>
    <w:p>
      <w:pPr>
        <w:keepNext/>
        <w:spacing w:before="140" w:after="60"/>
      </w:pPr>
      <w:r>
        <w:rPr>
          <w:b/>
          <w:sz w:val="22"/>
        </w:rPr>
        <w:t>S13  Haultron installed system</w:t>
      </w:r>
    </w:p>
    <w:p>
      <w:pPr>
        <w:keepNext/>
        <w:spacing w:after="60"/>
      </w:pPr>
      <w:r>
        <w:rPr>
          <w:sz w:val="20"/>
        </w:rPr>
        <w:t>Backup-equipment category reference; engineering and quote needed.</w:t>
      </w:r>
    </w:p>
    <w:p>
      <w:pPr>
        <w:pStyle w:val="Caption"/>
        <w:spacing w:after="100" w:line="240" w:lineRule="auto"/>
      </w:pPr>
      <w:r>
        <w:rPr>
          <w:b w:val="0"/>
          <w:sz w:val="18"/>
        </w:rPr>
        <w:t>https://www.haultron.co.za/products/installed-8kw-sunsynk-solar-system</w:t>
      </w:r>
    </w:p>
    <w:p>
      <w:pPr>
        <w:keepNext/>
        <w:spacing w:before="140" w:after="60"/>
      </w:pPr>
      <w:r>
        <w:rPr>
          <w:b/>
          <w:sz w:val="22"/>
        </w:rPr>
        <w:t>S14  SARS official interest-rate table</w:t>
      </w:r>
    </w:p>
    <w:p>
      <w:pPr>
        <w:keepNext/>
        <w:spacing w:after="60"/>
      </w:pPr>
      <w:r>
        <w:rPr>
          <w:sz w:val="20"/>
        </w:rPr>
        <w:t>Official rate 8% from 1 June 2026; held constant in model.</w:t>
      </w:r>
    </w:p>
    <w:p>
      <w:pPr>
        <w:pStyle w:val="Caption"/>
        <w:spacing w:after="100" w:line="240" w:lineRule="auto"/>
      </w:pPr>
      <w:r>
        <w:rPr>
          <w:b w:val="0"/>
          <w:sz w:val="18"/>
        </w:rPr>
        <w:t>https://www.sars.gov.za/legal-pub-irt-03-interest-rates-table-3/</w:t>
      </w:r>
    </w:p>
    <w:p>
      <w:pPr>
        <w:keepNext/>
        <w:spacing w:before="140" w:after="60"/>
      </w:pPr>
      <w:r>
        <w:rPr>
          <w:b/>
          <w:sz w:val="22"/>
        </w:rPr>
        <w:t>S15  Cape Winelands food premises application</w:t>
      </w:r>
    </w:p>
    <w:p>
      <w:pPr>
        <w:keepNext/>
        <w:spacing w:after="60"/>
      </w:pPr>
      <w:r>
        <w:rPr>
          <w:sz w:val="20"/>
        </w:rPr>
        <w:t>Certificate of Acceptability process; shared bathroom approval unresolved.</w:t>
      </w:r>
    </w:p>
    <w:p>
      <w:pPr>
        <w:pStyle w:val="Caption"/>
        <w:spacing w:after="100" w:line="240" w:lineRule="auto"/>
      </w:pPr>
      <w:r>
        <w:rPr>
          <w:b w:val="0"/>
          <w:sz w:val="18"/>
        </w:rPr>
        <w:t>https://capewinelands.gov.za/download/application-for-a-certificate-of-acceptability-for-a-food-premises-in-terms-of-regulation-32-of-r-638-of-22-june-2018/</w:t>
      </w:r>
    </w:p>
    <w:p>
      <w:pPr>
        <w:keepNext/>
        <w:spacing w:before="140" w:after="60"/>
      </w:pPr>
      <w:r>
        <w:rPr>
          <w:b/>
          <w:sz w:val="22"/>
        </w:rPr>
        <w:t>S16  SARS turnover tax and eligibility</w:t>
      </w:r>
    </w:p>
    <w:p>
      <w:pPr>
        <w:keepNext/>
        <w:spacing w:after="60"/>
      </w:pPr>
      <w:r>
        <w:rPr>
          <w:sz w:val="20"/>
        </w:rPr>
        <w:t>Rates, ceiling and qualifying tests; structure not approved.</w:t>
      </w:r>
    </w:p>
    <w:p>
      <w:pPr>
        <w:pStyle w:val="Caption"/>
        <w:spacing w:after="100" w:line="240" w:lineRule="auto"/>
      </w:pPr>
      <w:r>
        <w:rPr>
          <w:b w:val="0"/>
          <w:sz w:val="18"/>
        </w:rPr>
        <w:t>https://www.sars.gov.za/tax-rates/turnover-tax/</w:t>
        <w:br/>
        <w:t>https://www.sars.gov.za/types-of-tax/turnover-tax/quick-test-for-individuals-and-companies/</w:t>
      </w:r>
    </w:p>
    <w:p>
      <w:pPr>
        <w:keepNext/>
        <w:spacing w:before="140" w:after="60"/>
      </w:pPr>
      <w:r>
        <w:rPr>
          <w:b/>
          <w:sz w:val="22"/>
        </w:rPr>
        <w:t>S17  SARS VAT and corporate tax</w:t>
      </w:r>
    </w:p>
    <w:p>
      <w:pPr>
        <w:keepNext/>
        <w:spacing w:after="60"/>
      </w:pPr>
      <w:r>
        <w:rPr>
          <w:sz w:val="20"/>
        </w:rPr>
        <w:t>Current VAT and ordinary corporate-tax planning basis.</w:t>
      </w:r>
    </w:p>
    <w:p>
      <w:pPr>
        <w:pStyle w:val="Caption"/>
        <w:spacing w:after="100" w:line="240" w:lineRule="auto"/>
      </w:pPr>
      <w:r>
        <w:rPr>
          <w:b w:val="0"/>
          <w:sz w:val="18"/>
        </w:rPr>
        <w:t>https://www.sars.gov.za/types-of-tax/value-added-tax/</w:t>
        <w:br/>
        <w:t>https://www.sars.gov.za/tax-rates/income-tax/companies-trusts-and-small-business-corporations-sbc/</w:t>
      </w:r>
    </w:p>
    <w:p>
      <w:pPr>
        <w:pStyle w:val="Caption"/>
        <w:pageBreakBefore/>
      </w:pPr>
      <w:r>
        <w:t>18  /  COWBOY CAFE</w:t>
      </w:r>
    </w:p>
    <w:p>
      <w:pPr>
        <w:pStyle w:val="Heading1"/>
      </w:pPr>
      <w:r>
        <w:t>Legal evidence and outstanding quotations</w:t>
      </w:r>
    </w:p>
    <w:p>
      <w:pPr>
        <w:keepNext/>
        <w:spacing w:before="140" w:after="60"/>
      </w:pPr>
      <w:r>
        <w:rPr>
          <w:b/>
          <w:sz w:val="22"/>
        </w:rPr>
        <w:t>S18  Companies Act 71 of 2008</w:t>
      </w:r>
    </w:p>
    <w:p>
      <w:pPr>
        <w:keepNext/>
        <w:spacing w:after="60"/>
      </w:pPr>
      <w:r>
        <w:rPr>
          <w:sz w:val="20"/>
        </w:rPr>
        <w:t>Sections 15, 35, 46 and 48; corporate rights, distributions and buybacks.</w:t>
      </w:r>
    </w:p>
    <w:p>
      <w:pPr>
        <w:pStyle w:val="Caption"/>
        <w:spacing w:after="100" w:line="240" w:lineRule="auto"/>
      </w:pPr>
      <w:r>
        <w:rPr>
          <w:b w:val="0"/>
          <w:sz w:val="18"/>
        </w:rPr>
        <w:t>https://www.saflii.org/za/legis/consol_act/ca2008107/index.html</w:t>
      </w:r>
    </w:p>
    <w:p>
      <w:pPr>
        <w:keepNext/>
        <w:spacing w:before="140" w:after="60"/>
      </w:pPr>
      <w:r>
        <w:rPr>
          <w:b/>
          <w:sz w:val="22"/>
        </w:rPr>
        <w:t>S19  CIPC beneficial ownership</w:t>
      </w:r>
    </w:p>
    <w:p>
      <w:pPr>
        <w:keepNext/>
        <w:spacing w:after="60"/>
      </w:pPr>
      <w:r>
        <w:rPr>
          <w:sz w:val="20"/>
        </w:rPr>
        <w:t>Actual ownership/control disclosure requirements.</w:t>
      </w:r>
    </w:p>
    <w:p>
      <w:pPr>
        <w:pStyle w:val="Caption"/>
        <w:spacing w:after="100" w:line="240" w:lineRule="auto"/>
      </w:pPr>
      <w:r>
        <w:rPr>
          <w:b w:val="0"/>
          <w:sz w:val="18"/>
        </w:rPr>
        <w:t>https://www.cipc.co.za/?page_id=16055</w:t>
      </w:r>
    </w:p>
    <w:p>
      <w:pPr>
        <w:keepNext/>
        <w:spacing w:before="140" w:after="60"/>
      </w:pPr>
      <w:r>
        <w:rPr>
          <w:b/>
          <w:sz w:val="22"/>
        </w:rPr>
        <w:t>S20  SARS BPR 340</w:t>
      </w:r>
    </w:p>
    <w:p>
      <w:pPr>
        <w:keepNext/>
        <w:spacing w:after="60"/>
      </w:pPr>
      <w:r>
        <w:rPr>
          <w:sz w:val="20"/>
        </w:rPr>
        <w:t>Specific employee-share nominal buyback ruling; not general clearance.</w:t>
      </w:r>
    </w:p>
    <w:p>
      <w:pPr>
        <w:pStyle w:val="Caption"/>
        <w:spacing w:after="100" w:line="240" w:lineRule="auto"/>
      </w:pPr>
      <w:r>
        <w:rPr>
          <w:b w:val="0"/>
          <w:sz w:val="18"/>
        </w:rPr>
        <w:t>https://staging.sars.gov.za/wp-content/uploads/Legal/Rulings/BPR/LAPD-IntR-R-BPR-2020-04-BPR-340-Share-buy-back-at-nominal-value.pdf</w:t>
      </w:r>
    </w:p>
    <w:p>
      <w:pPr>
        <w:pStyle w:val="Heading2"/>
      </w:pPr>
      <w:r>
        <w:t>Replace these assumptions first</w:t>
      </w:r>
    </w:p>
    <w:tbl>
      <w:tblPr>
        <w:tblW w:type="auto" w:w="0"/>
        <w:jc w:val="center"/>
        <w:tblLayout w:type="fixed"/>
        <w:tblLook w:firstColumn="1" w:firstRow="1" w:lastColumn="0" w:lastRow="0" w:noHBand="0" w:noVBand="1" w:val="04A0"/>
      </w:tblPr>
      <w:tblGrid>
        <w:gridCol w:w="3528"/>
        <w:gridCol w:w="6552"/>
      </w:tblGrid>
      <w:tr>
        <w:trPr>
          <w:cantSplit/>
          <w:tblHeader/>
        </w:trPr>
        <w:tc>
          <w:tcPr>
            <w:tcW w:type="dxa" w:w="3528"/>
            <w:vAlign w:val="center"/>
            <w:shd w:fill="29251F"/>
            <w:tcBorders>
              <w:bottom w:val="single" w:sz="4" w:color="D6CEC3"/>
            </w:tcBorders>
          </w:tcPr>
          <w:p>
            <w:pPr>
              <w:spacing w:before="100" w:after="100" w:line="247" w:lineRule="auto"/>
            </w:pPr>
            <w:r>
              <w:rPr>
                <w:rFonts w:ascii="Arial" w:hAnsi="Arial"/>
                <w:b/>
                <w:color w:val="FFFFFF"/>
                <w:sz w:val="20"/>
              </w:rPr>
              <w:t>Quotation or decision</w:t>
            </w:r>
          </w:p>
        </w:tc>
        <w:tc>
          <w:tcPr>
            <w:tcW w:type="dxa" w:w="6552"/>
            <w:vAlign w:val="center"/>
            <w:shd w:fill="29251F"/>
            <w:tcBorders>
              <w:bottom w:val="single" w:sz="4" w:color="D6CEC3"/>
            </w:tcBorders>
          </w:tcPr>
          <w:p>
            <w:pPr>
              <w:spacing w:before="100" w:after="100" w:line="247" w:lineRule="auto"/>
            </w:pPr>
            <w:r>
              <w:rPr>
                <w:rFonts w:ascii="Arial" w:hAnsi="Arial"/>
                <w:b/>
                <w:color w:val="FFFFFF"/>
                <w:sz w:val="20"/>
              </w:rPr>
              <w:t>Why it matters</w:t>
            </w:r>
          </w:p>
        </w:tc>
      </w:tr>
      <w:tr>
        <w:trPr>
          <w:cantSplit/>
        </w:trPr>
        <w:tc>
          <w:tcPr>
            <w:tcW w:type="dxa" w:w="3528"/>
            <w:vAlign w:val="center"/>
            <w:shd w:fill="F3EFE8"/>
            <w:tcBorders>
              <w:bottom w:val="single" w:sz="4" w:color="D6CEC3"/>
            </w:tcBorders>
          </w:tcPr>
          <w:p>
            <w:pPr>
              <w:spacing w:before="100" w:after="100" w:line="247" w:lineRule="auto"/>
            </w:pPr>
            <w:r>
              <w:rPr>
                <w:rFonts w:ascii="Arial" w:hAnsi="Arial"/>
                <w:b w:val="0"/>
                <w:color w:val="000000"/>
                <w:sz w:val="20"/>
              </w:rPr>
              <w:t>Landlord and measured fit-out</w:t>
            </w:r>
          </w:p>
        </w:tc>
        <w:tc>
          <w:tcPr>
            <w:tcW w:type="dxa" w:w="6552"/>
            <w:vAlign w:val="center"/>
            <w:shd w:fill="F3EFE8"/>
            <w:tcBorders>
              <w:bottom w:val="single" w:sz="4" w:color="D6CEC3"/>
            </w:tcBorders>
          </w:tcPr>
          <w:p>
            <w:pPr>
              <w:spacing w:before="100" w:after="100" w:line="247" w:lineRule="auto"/>
            </w:pPr>
            <w:r>
              <w:rPr>
                <w:rFonts w:ascii="Arial" w:hAnsi="Arial"/>
                <w:b w:val="0"/>
                <w:color w:val="000000"/>
                <w:sz w:val="20"/>
              </w:rPr>
              <w:t>Rent, food use, service capacity, reinstatement and shell conversion dominate capital exposure.</w:t>
            </w:r>
          </w:p>
        </w:tc>
      </w:tr>
      <w:tr>
        <w:trPr>
          <w:cantSplit/>
        </w:trPr>
        <w:tc>
          <w:tcPr>
            <w:tcW w:type="dxa" w:w="3528"/>
            <w:vAlign w:val="center"/>
            <w:shd w:fill="FFFFFF"/>
            <w:tcBorders>
              <w:bottom w:val="single" w:sz="4" w:color="D6CEC3"/>
            </w:tcBorders>
          </w:tcPr>
          <w:p>
            <w:pPr>
              <w:spacing w:before="100" w:after="100" w:line="247" w:lineRule="auto"/>
            </w:pPr>
            <w:r>
              <w:rPr>
                <w:rFonts w:ascii="Arial" w:hAnsi="Arial"/>
                <w:b w:val="0"/>
                <w:color w:val="000000"/>
                <w:sz w:val="20"/>
              </w:rPr>
              <w:t>Bank offers and personal budget</w:t>
            </w:r>
          </w:p>
        </w:tc>
        <w:tc>
          <w:tcPr>
            <w:tcW w:type="dxa" w:w="6552"/>
            <w:vAlign w:val="center"/>
            <w:shd w:fill="FFFFFF"/>
            <w:tcBorders>
              <w:bottom w:val="single" w:sz="4" w:color="D6CEC3"/>
            </w:tcBorders>
          </w:tcPr>
          <w:p>
            <w:pPr>
              <w:spacing w:before="100" w:after="100" w:line="247" w:lineRule="auto"/>
            </w:pPr>
            <w:r>
              <w:rPr>
                <w:rFonts w:ascii="Arial" w:hAnsi="Arial"/>
                <w:b w:val="0"/>
                <w:color w:val="000000"/>
                <w:sz w:val="20"/>
              </w:rPr>
              <w:t>The benchmark cannot fund the base amount; validate full sources and ongoing cash support.</w:t>
            </w:r>
          </w:p>
        </w:tc>
      </w:tr>
      <w:tr>
        <w:trPr>
          <w:cantSplit/>
        </w:trPr>
        <w:tc>
          <w:tcPr>
            <w:tcW w:type="dxa" w:w="3528"/>
            <w:vAlign w:val="center"/>
            <w:shd w:fill="F3EFE8"/>
            <w:tcBorders>
              <w:bottom w:val="single" w:sz="4" w:color="D6CEC3"/>
            </w:tcBorders>
          </w:tcPr>
          <w:p>
            <w:pPr>
              <w:spacing w:before="100" w:after="100" w:line="247" w:lineRule="auto"/>
            </w:pPr>
            <w:r>
              <w:rPr>
                <w:rFonts w:ascii="Arial" w:hAnsi="Arial"/>
                <w:b w:val="0"/>
                <w:color w:val="000000"/>
                <w:sz w:val="20"/>
              </w:rPr>
              <w:t>Bakery and matcha suppliers</w:t>
            </w:r>
          </w:p>
        </w:tc>
        <w:tc>
          <w:tcPr>
            <w:tcW w:type="dxa" w:w="6552"/>
            <w:vAlign w:val="center"/>
            <w:shd w:fill="F3EFE8"/>
            <w:tcBorders>
              <w:bottom w:val="single" w:sz="4" w:color="D6CEC3"/>
            </w:tcBorders>
          </w:tcPr>
          <w:p>
            <w:pPr>
              <w:spacing w:before="100" w:after="100" w:line="247" w:lineRule="auto"/>
            </w:pPr>
            <w:r>
              <w:rPr>
                <w:rFonts w:ascii="Arial" w:hAnsi="Arial"/>
                <w:b w:val="0"/>
                <w:color w:val="000000"/>
                <w:sz w:val="20"/>
              </w:rPr>
              <w:t>Delivered prices, VAT status, quality, minimum orders and spoilage drive GP.</w:t>
            </w:r>
          </w:p>
        </w:tc>
      </w:tr>
      <w:tr>
        <w:trPr>
          <w:cantSplit/>
        </w:trPr>
        <w:tc>
          <w:tcPr>
            <w:tcW w:type="dxa" w:w="3528"/>
            <w:vAlign w:val="center"/>
            <w:shd w:fill="FFFFFF"/>
            <w:tcBorders>
              <w:bottom w:val="single" w:sz="4" w:color="D6CEC3"/>
            </w:tcBorders>
          </w:tcPr>
          <w:p>
            <w:pPr>
              <w:spacing w:before="100" w:after="100" w:line="247" w:lineRule="auto"/>
            </w:pPr>
            <w:r>
              <w:rPr>
                <w:rFonts w:ascii="Arial" w:hAnsi="Arial"/>
                <w:b w:val="0"/>
                <w:color w:val="000000"/>
                <w:sz w:val="20"/>
              </w:rPr>
              <w:t>Cups, lids and print order</w:t>
            </w:r>
          </w:p>
        </w:tc>
        <w:tc>
          <w:tcPr>
            <w:tcW w:type="dxa" w:w="6552"/>
            <w:vAlign w:val="center"/>
            <w:shd w:fill="FFFFFF"/>
            <w:tcBorders>
              <w:bottom w:val="single" w:sz="4" w:color="D6CEC3"/>
            </w:tcBorders>
          </w:tcPr>
          <w:p>
            <w:pPr>
              <w:spacing w:before="100" w:after="100" w:line="247" w:lineRule="auto"/>
            </w:pPr>
            <w:r>
              <w:rPr>
                <w:rFonts w:ascii="Arial" w:hAnsi="Arial"/>
                <w:b w:val="0"/>
                <w:color w:val="000000"/>
                <w:sz w:val="20"/>
              </w:rPr>
              <w:t>Unit price, minimum print run, lead time and storage affect both margin and opening inventory.</w:t>
            </w:r>
          </w:p>
        </w:tc>
      </w:tr>
      <w:tr>
        <w:trPr>
          <w:cantSplit/>
        </w:trPr>
        <w:tc>
          <w:tcPr>
            <w:tcW w:type="dxa" w:w="3528"/>
            <w:vAlign w:val="center"/>
            <w:shd w:fill="F3EFE8"/>
            <w:tcBorders>
              <w:bottom w:val="single" w:sz="4" w:color="D6CEC3"/>
            </w:tcBorders>
          </w:tcPr>
          <w:p>
            <w:pPr>
              <w:spacing w:before="100" w:after="100" w:line="247" w:lineRule="auto"/>
            </w:pPr>
            <w:r>
              <w:rPr>
                <w:rFonts w:ascii="Arial" w:hAnsi="Arial"/>
                <w:b w:val="0"/>
                <w:color w:val="000000"/>
                <w:sz w:val="20"/>
              </w:rPr>
              <w:t>Labour and technical advisers</w:t>
            </w:r>
          </w:p>
        </w:tc>
        <w:tc>
          <w:tcPr>
            <w:tcW w:type="dxa" w:w="6552"/>
            <w:vAlign w:val="center"/>
            <w:shd w:fill="F3EFE8"/>
            <w:tcBorders>
              <w:bottom w:val="single" w:sz="4" w:color="D6CEC3"/>
            </w:tcBorders>
          </w:tcPr>
          <w:p>
            <w:pPr>
              <w:spacing w:before="100" w:after="100" w:line="247" w:lineRule="auto"/>
            </w:pPr>
            <w:r>
              <w:rPr>
                <w:rFonts w:ascii="Arial" w:hAnsi="Arial"/>
                <w:b w:val="0"/>
                <w:color w:val="000000"/>
                <w:sz w:val="20"/>
              </w:rPr>
              <w:t>Confirm roster, sector obligations, power sizing and food-premises approvals.</w:t>
            </w:r>
          </w:p>
        </w:tc>
      </w:tr>
      <w:tr>
        <w:trPr>
          <w:cantSplit/>
        </w:trPr>
        <w:tc>
          <w:tcPr>
            <w:tcW w:type="dxa" w:w="3528"/>
            <w:vAlign w:val="center"/>
            <w:shd w:fill="FFFFFF"/>
            <w:tcBorders>
              <w:bottom w:val="single" w:sz="4" w:color="D6CEC3"/>
            </w:tcBorders>
          </w:tcPr>
          <w:p>
            <w:pPr>
              <w:spacing w:before="100" w:after="100" w:line="247" w:lineRule="auto"/>
            </w:pPr>
            <w:r>
              <w:rPr>
                <w:rFonts w:ascii="Arial" w:hAnsi="Arial"/>
                <w:b w:val="0"/>
                <w:color w:val="000000"/>
                <w:sz w:val="20"/>
              </w:rPr>
              <w:t>Attorney and tax practitioner</w:t>
            </w:r>
          </w:p>
        </w:tc>
        <w:tc>
          <w:tcPr>
            <w:tcW w:type="dxa" w:w="6552"/>
            <w:vAlign w:val="center"/>
            <w:shd w:fill="FFFFFF"/>
            <w:tcBorders>
              <w:bottom w:val="single" w:sz="4" w:color="D6CEC3"/>
            </w:tcBorders>
          </w:tcPr>
          <w:p>
            <w:pPr>
              <w:spacing w:before="100" w:after="100" w:line="247" w:lineRule="auto"/>
            </w:pPr>
            <w:r>
              <w:rPr>
                <w:rFonts w:ascii="Arial" w:hAnsi="Arial"/>
                <w:b w:val="0"/>
                <w:color w:val="000000"/>
                <w:sz w:val="20"/>
              </w:rPr>
              <w:t>MOI, actual beneficial ownership, nominal buyback, replacement shares and tax eligibility.</w:t>
            </w:r>
          </w:p>
        </w:tc>
      </w:tr>
    </w:tbl>
    <w:p/>
    <w:p>
      <w:r>
        <w:t>The interior visualisation uses concrete, walnut and leather. The approved packaging concept uses indigo denim with a softened woven texture, cream cowboy and coffee-pot artwork, and an ivory lid. The texture supports the legibility of the logo. These are concept visuals, not construction drawings or final print artwork. The R5.20 hot-cup-and-lid allowance remains a benchmark pending a quote for this specific design, print quantity and lid. Obtain a physical print proof before ordering. Revisit the investment figures when supplier quotes replace the allowances.</w:t>
      </w:r>
    </w:p>
    <w:sectPr w:rsidR="00FC693F" w:rsidRPr="0006063C" w:rsidSect="00034616">
      <w:headerReference w:type="default" r:id="rId9"/>
      <w:footerReference w:type="default" r:id="rId10"/>
      <w:pgSz w:w="12240" w:h="15840"/>
      <w:pgMar w:top="1008" w:right="1080" w:bottom="936"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CONFIDENTIAL  ·  07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COWBOY CAFE  /  INVESTMENT BUSINESS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Georgia" w:hAnsi="Georgia"/>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Georgia" w:hAnsi="Georg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40" w:line="240" w:lineRule="auto" w:before="240"/>
      <w:contextualSpacing/>
    </w:pPr>
    <w:rPr>
      <w:rFonts w:ascii="Georgia" w:hAnsi="Georgia"/>
      <w:b w:val="0"/>
      <w:color w:val="000000"/>
      <w:spacing w:val="5"/>
      <w:kern w:val="28"/>
      <w:sz w:val="7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Cowboy Cafe | Investment Business Plan</dc:title>
  <dc:subject>Decision-stage business plan and 36-month financial snapshot</dc:subject>
  <dc:creator>Cowboy Cafe</dc:creator>
  <cp:keywords>Stellenbosch, coffee shop, investment, financial model</cp:keywords>
  <dc:description>generated by python-docx</dc:description>
  <cp:lastModifiedBy/>
  <cp:revision>1</cp:revision>
  <dcterms:created xsi:type="dcterms:W3CDTF">2013-12-23T23:15:00Z</dcterms:created>
  <dcterms:modified xsi:type="dcterms:W3CDTF">2013-12-23T23:15:00Z</dcterms:modified>
  <cp:category/>
</cp:coreProperties>
</file>