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1F3864"/>
          <w:sz w:val="30"/>
        </w:rPr>
        <w:t>Rock Stability Methods — Verified Comparison (with sources)</w:t>
      </w:r>
    </w:p>
    <w:p>
      <w:r>
        <w:rPr>
          <w:i/>
          <w:sz w:val="18"/>
        </w:rPr>
        <w:t>All validity limits and key parameters re-checked against the primary sources. Items confirmed against clean source text are marked (verified); items relying on standard literature are flagged. Confidence and citations are given in the notes section below each table.</w:t>
      </w:r>
    </w:p>
    <w:p>
      <w:r>
        <w:rPr>
          <w:b/>
          <w:sz w:val="18"/>
        </w:rPr>
        <w:t>Scope of this thesis: the nearshore environment from the shoaling zone up to just past the breaker line. In CIRIA terms this is deep-to-shallow water, NOT very shallow water (Hs-toe &lt; 70% Hso). The very-shallow inner-surf regime with fully broken heavy waves is outside scope, so the Van der Meer shallow-water form (Van Gent et al. 2004) is not used.</w:t>
      </w:r>
    </w:p>
    <w:p>
      <w:r>
        <w:rPr>
          <w:b/>
        </w:rPr>
        <w:t>Table 1  Method comparison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020"/>
        <w:gridCol w:w="2020"/>
        <w:gridCol w:w="2020"/>
        <w:gridCol w:w="2020"/>
        <w:gridCol w:w="2020"/>
        <w:gridCol w:w="2020"/>
        <w:gridCol w:w="2020"/>
      </w:tblGrid>
      <w:tr>
        <w:tc>
          <w:tcPr>
            <w:tcW w:type="dxa" w:w="2020"/>
            <w:shd w:val="clear" w:fill="1F3864"/>
          </w:tcPr>
          <w:p>
            <w:r/>
            <w:r>
              <w:rPr>
                <w:b/>
                <w:color w:val="FFFFFF"/>
                <w:sz w:val="17"/>
              </w:rPr>
              <w:t>Method</w:t>
            </w:r>
          </w:p>
        </w:tc>
        <w:tc>
          <w:tcPr>
            <w:tcW w:type="dxa" w:w="2020"/>
            <w:shd w:val="clear" w:fill="1F3864"/>
          </w:tcPr>
          <w:p>
            <w:r/>
            <w:r>
              <w:rPr>
                <w:b/>
                <w:color w:val="FFFFFF"/>
                <w:sz w:val="17"/>
              </w:rPr>
              <w:t>Made for</w:t>
            </w:r>
          </w:p>
        </w:tc>
        <w:tc>
          <w:tcPr>
            <w:tcW w:type="dxa" w:w="2020"/>
            <w:shd w:val="clear" w:fill="1F3864"/>
          </w:tcPr>
          <w:p>
            <w:r/>
            <w:r>
              <w:rPr>
                <w:b/>
                <w:color w:val="FFFFFF"/>
                <w:sz w:val="17"/>
              </w:rPr>
              <w:t>Required inputs</w:t>
            </w:r>
          </w:p>
        </w:tc>
        <w:tc>
          <w:tcPr>
            <w:tcW w:type="dxa" w:w="2020"/>
            <w:shd w:val="clear" w:fill="1F3864"/>
          </w:tcPr>
          <w:p>
            <w:r/>
            <w:r>
              <w:rPr>
                <w:b/>
                <w:color w:val="FFFFFF"/>
                <w:sz w:val="17"/>
              </w:rPr>
              <w:t>Output</w:t>
            </w:r>
          </w:p>
        </w:tc>
        <w:tc>
          <w:tcPr>
            <w:tcW w:type="dxa" w:w="2020"/>
            <w:shd w:val="clear" w:fill="1F3864"/>
          </w:tcPr>
          <w:p>
            <w:r/>
            <w:r>
              <w:rPr>
                <w:b/>
                <w:color w:val="FFFFFF"/>
                <w:sz w:val="17"/>
              </w:rPr>
              <w:t>Damage criterion</w:t>
            </w:r>
          </w:p>
        </w:tc>
        <w:tc>
          <w:tcPr>
            <w:tcW w:type="dxa" w:w="2020"/>
            <w:shd w:val="clear" w:fill="1F3864"/>
          </w:tcPr>
          <w:p>
            <w:r/>
            <w:r>
              <w:rPr>
                <w:b/>
                <w:color w:val="FFFFFF"/>
                <w:sz w:val="17"/>
              </w:rPr>
              <w:t>Validity limits (verified)</w:t>
            </w:r>
          </w:p>
        </w:tc>
        <w:tc>
          <w:tcPr>
            <w:tcW w:type="dxa" w:w="2020"/>
            <w:shd w:val="clear" w:fill="1F3864"/>
          </w:tcPr>
          <w:p>
            <w:r/>
            <w:r>
              <w:rPr>
                <w:b/>
                <w:color w:val="FFFFFF"/>
                <w:sz w:val="17"/>
              </w:rPr>
              <w:t>Fit for cable berm</w:t>
            </w:r>
          </w:p>
        </w:tc>
      </w:tr>
      <w:tr>
        <w:tc>
          <w:tcPr>
            <w:tcW w:type="dxa" w:w="2020"/>
          </w:tcPr>
          <w:p>
            <w:r/>
            <w:r>
              <w:rPr>
                <w:b/>
                <w:sz w:val="16"/>
              </w:rPr>
              <w:t>Hudson (1953/59)</w:t>
            </w:r>
          </w:p>
        </w:tc>
        <w:tc>
          <w:tcPr>
            <w:tcW w:type="dxa" w:w="2020"/>
          </w:tcPr>
          <w:p>
            <w:r/>
            <w:r>
              <w:rPr>
                <w:b w:val="0"/>
                <w:sz w:val="16"/>
              </w:rPr>
              <w:t>Slope armour, permeable-core breakwater, regular waves</w:t>
            </w:r>
          </w:p>
        </w:tc>
        <w:tc>
          <w:tcPr>
            <w:tcW w:type="dxa" w:w="2020"/>
          </w:tcPr>
          <w:p>
            <w:r/>
            <w:r>
              <w:rPr>
                <w:b w:val="0"/>
                <w:sz w:val="16"/>
              </w:rPr>
              <w:t>Hs, KD, Δ, cotα</w:t>
            </w:r>
          </w:p>
        </w:tc>
        <w:tc>
          <w:tcPr>
            <w:tcW w:type="dxa" w:w="2020"/>
          </w:tcPr>
          <w:p>
            <w:r/>
            <w:r>
              <w:rPr>
                <w:b w:val="0"/>
                <w:sz w:val="16"/>
              </w:rPr>
              <w:t>W50 / Dn50</w:t>
            </w:r>
          </w:p>
        </w:tc>
        <w:tc>
          <w:tcPr>
            <w:tcW w:type="dxa" w:w="2020"/>
          </w:tcPr>
          <w:p>
            <w:r/>
            <w:r>
              <w:rPr>
                <w:b w:val="0"/>
                <w:sz w:val="16"/>
              </w:rPr>
              <w:t>Implicit fixed (~0–5%), no scale</w:t>
            </w:r>
          </w:p>
        </w:tc>
        <w:tc>
          <w:tcPr>
            <w:tcW w:type="dxa" w:w="2020"/>
          </w:tcPr>
          <w:p>
            <w:r/>
            <w:r>
              <w:rPr>
                <w:b w:val="0"/>
                <w:sz w:val="16"/>
              </w:rPr>
              <w:t>Slope armour, non-overtopped, permeable core (KD=4 non-breaking / KD=2 breaking; impermeable core only with KD=1); deep to shallow water but NOT very shallow (Hs-toe &lt; 70% Hso); no strict cotα range published (KD tables ~1:1.5–1:3); no Tp; no N; no P; no current</w:t>
            </w:r>
          </w:p>
        </w:tc>
        <w:tc>
          <w:tcPr>
            <w:tcW w:type="dxa" w:w="2020"/>
          </w:tcPr>
          <w:p>
            <w:r/>
            <w:r>
              <w:rPr>
                <w:b w:val="0"/>
                <w:sz w:val="16"/>
              </w:rPr>
              <w:t>Low – first estimate only</w:t>
            </w:r>
          </w:p>
        </w:tc>
      </w:tr>
      <w:tr>
        <w:tc>
          <w:tcPr>
            <w:tcW w:type="dxa" w:w="2020"/>
            <w:shd w:val="clear" w:fill="D9E1F2"/>
          </w:tcPr>
          <w:p>
            <w:r/>
            <w:r>
              <w:rPr>
                <w:b/>
                <w:sz w:val="16"/>
              </w:rPr>
              <w:t>Van der Meer (1988/98)</w:t>
            </w:r>
          </w:p>
        </w:tc>
        <w:tc>
          <w:tcPr>
            <w:tcW w:type="dxa" w:w="2020"/>
            <w:shd w:val="clear" w:fill="D9E1F2"/>
          </w:tcPr>
          <w:p>
            <w:r/>
            <w:r>
              <w:rPr>
                <w:b w:val="0"/>
                <w:sz w:val="16"/>
              </w:rPr>
              <w:t>Slope armour, random waves, deep water</w:t>
            </w:r>
          </w:p>
        </w:tc>
        <w:tc>
          <w:tcPr>
            <w:tcW w:type="dxa" w:w="2020"/>
            <w:shd w:val="clear" w:fill="D9E1F2"/>
          </w:tcPr>
          <w:p>
            <w:r/>
            <w:r>
              <w:rPr>
                <w:b w:val="0"/>
                <w:sz w:val="16"/>
              </w:rPr>
              <w:t>Hs, Tm (sm), Δ, Dn50, cotα, P, N, Sd</w:t>
            </w:r>
          </w:p>
        </w:tc>
        <w:tc>
          <w:tcPr>
            <w:tcW w:type="dxa" w:w="2020"/>
            <w:shd w:val="clear" w:fill="D9E1F2"/>
          </w:tcPr>
          <w:p>
            <w:r/>
            <w:r>
              <w:rPr>
                <w:b w:val="0"/>
                <w:sz w:val="16"/>
              </w:rPr>
              <w:t>Dn50 / Ns at a chosen Sd</w:t>
            </w:r>
          </w:p>
        </w:tc>
        <w:tc>
          <w:tcPr>
            <w:tcW w:type="dxa" w:w="2020"/>
            <w:shd w:val="clear" w:fill="D9E1F2"/>
          </w:tcPr>
          <w:p>
            <w:r/>
            <w:r>
              <w:rPr>
                <w:b w:val="0"/>
                <w:sz w:val="16"/>
              </w:rPr>
              <w:t>Sd = Ae/Dn50² (start 2–3, failure ≈8–17)</w:t>
            </w:r>
          </w:p>
        </w:tc>
        <w:tc>
          <w:tcPr>
            <w:tcW w:type="dxa" w:w="2020"/>
            <w:shd w:val="clear" w:fill="D9E1F2"/>
          </w:tcPr>
          <w:p>
            <w:r/>
            <w:r>
              <w:rPr>
                <w:b w:val="0"/>
                <w:sz w:val="16"/>
              </w:rPr>
              <w:t>Deep water (h &gt; 3·Hs-toe); slope armour; cotα = 1.5–6; P = 0.1–0.6; N &lt; 7500; som = 0.01–0.06; ξm = 0.7–7; Δ = 1–2.1 (higher Δ→cotα≥2); separate plunging/surging; no current. Valid in the outer/deep part of the domain, drops out as waves approach breaking</w:t>
            </w:r>
          </w:p>
        </w:tc>
        <w:tc>
          <w:tcPr>
            <w:tcW w:type="dxa" w:w="2020"/>
            <w:shd w:val="clear" w:fill="D9E1F2"/>
          </w:tcPr>
          <w:p>
            <w:r/>
            <w:r>
              <w:rPr>
                <w:b w:val="0"/>
                <w:sz w:val="16"/>
              </w:rPr>
              <w:t>Low–med – slope, not berm/bed</w:t>
            </w:r>
          </w:p>
        </w:tc>
      </w:tr>
      <w:tr>
        <w:tc>
          <w:tcPr>
            <w:tcW w:type="dxa" w:w="2020"/>
          </w:tcPr>
          <w:p>
            <w:r/>
            <w:r>
              <w:rPr>
                <w:b/>
                <w:sz w:val="16"/>
              </w:rPr>
              <w:t>Van Rijn (2019)</w:t>
            </w:r>
          </w:p>
        </w:tc>
        <w:tc>
          <w:tcPr>
            <w:tcW w:type="dxa" w:w="2020"/>
          </w:tcPr>
          <w:p>
            <w:r/>
            <w:r>
              <w:rPr>
                <w:b w:val="0"/>
                <w:sz w:val="16"/>
              </w:rPr>
              <w:t>Horizontal/mild-slope bed protection, current ± waves</w:t>
            </w:r>
          </w:p>
        </w:tc>
        <w:tc>
          <w:tcPr>
            <w:tcW w:type="dxa" w:w="2020"/>
          </w:tcPr>
          <w:p>
            <w:r/>
            <w:r>
              <w:rPr>
                <w:b w:val="0"/>
                <w:sz w:val="16"/>
              </w:rPr>
              <w:t>uc, Hs, Tp, h, Δ, slope, α(ks), r, γstr</w:t>
            </w:r>
          </w:p>
        </w:tc>
        <w:tc>
          <w:tcPr>
            <w:tcW w:type="dxa" w:w="2020"/>
          </w:tcPr>
          <w:p>
            <w:r/>
            <w:r>
              <w:rPr>
                <w:b w:val="0"/>
                <w:sz w:val="16"/>
              </w:rPr>
              <w:t>required D50; + Nmr/Sd (Cheng 2002) for dynamic</w:t>
            </w:r>
          </w:p>
        </w:tc>
        <w:tc>
          <w:tcPr>
            <w:tcW w:type="dxa" w:w="2020"/>
          </w:tcPr>
          <w:p>
            <w:r/>
            <w:r>
              <w:rPr>
                <w:b w:val="0"/>
                <w:sz w:val="16"/>
              </w:rPr>
              <w:t>r = 0.4–1.0 → θcr = r·0.05 (static); Cheng bed-load (dynamic)</w:t>
            </w:r>
          </w:p>
        </w:tc>
        <w:tc>
          <w:tcPr>
            <w:tcW w:type="dxa" w:w="2020"/>
          </w:tcPr>
          <w:p>
            <w:r/>
            <w:r>
              <w:rPr>
                <w:b w:val="0"/>
                <w:sz w:val="16"/>
              </w:rPr>
              <w:t>D50 = 0.03–3 m; horizontal/mild slope; roughness h/(αD50) &amp; Aw/(αD50) = 10–300; D50 is sieve size (D50 ≈ 1.2·Dn50); sparse field calibration for largest sizes</w:t>
            </w:r>
          </w:p>
        </w:tc>
        <w:tc>
          <w:tcPr>
            <w:tcW w:type="dxa" w:w="2020"/>
          </w:tcPr>
          <w:p>
            <w:r/>
            <w:r>
              <w:rPr>
                <w:b w:val="0"/>
                <w:sz w:val="16"/>
              </w:rPr>
              <w:t>High – only one with combined wave+current; static &amp; dynamic</w:t>
            </w:r>
          </w:p>
        </w:tc>
      </w:tr>
      <w:tr>
        <w:tc>
          <w:tcPr>
            <w:tcW w:type="dxa" w:w="2020"/>
            <w:shd w:val="clear" w:fill="D9E1F2"/>
          </w:tcPr>
          <w:p>
            <w:r/>
            <w:r>
              <w:rPr>
                <w:b/>
                <w:sz w:val="16"/>
              </w:rPr>
              <w:t>Van Gent &amp; Van der Werf (2014)</w:t>
            </w:r>
          </w:p>
        </w:tc>
        <w:tc>
          <w:tcPr>
            <w:tcW w:type="dxa" w:w="2020"/>
            <w:shd w:val="clear" w:fill="D9E1F2"/>
          </w:tcPr>
          <w:p>
            <w:r/>
            <w:r>
              <w:rPr>
                <w:b w:val="0"/>
                <w:sz w:val="16"/>
              </w:rPr>
              <w:t>Toe of breakwater armour slope, waves</w:t>
            </w:r>
          </w:p>
        </w:tc>
        <w:tc>
          <w:tcPr>
            <w:tcW w:type="dxa" w:w="2020"/>
            <w:shd w:val="clear" w:fill="D9E1F2"/>
          </w:tcPr>
          <w:p>
            <w:r/>
            <w:r>
              <w:rPr>
                <w:b w:val="0"/>
                <w:sz w:val="16"/>
              </w:rPr>
              <w:t>Hs, Tm-1,0, ht, Bt, tt, Dn50, Δ, cotα, roughness</w:t>
            </w:r>
          </w:p>
        </w:tc>
        <w:tc>
          <w:tcPr>
            <w:tcW w:type="dxa" w:w="2020"/>
            <w:shd w:val="clear" w:fill="D9E1F2"/>
          </w:tcPr>
          <w:p>
            <w:r/>
            <w:r>
              <w:rPr>
                <w:b w:val="0"/>
                <w:sz w:val="16"/>
              </w:rPr>
              <w:t>Nod or Dn50</w:t>
            </w:r>
          </w:p>
        </w:tc>
        <w:tc>
          <w:tcPr>
            <w:tcW w:type="dxa" w:w="2020"/>
            <w:shd w:val="clear" w:fill="D9E1F2"/>
          </w:tcPr>
          <w:p>
            <w:r/>
            <w:r>
              <w:rPr>
                <w:b w:val="0"/>
                <w:sz w:val="16"/>
              </w:rPr>
              <w:t>Nod (displaced stones in a Dn50-wide strip)</w:t>
            </w:r>
          </w:p>
        </w:tc>
        <w:tc>
          <w:tcPr>
            <w:tcW w:type="dxa" w:w="2020"/>
            <w:shd w:val="clear" w:fill="D9E1F2"/>
          </w:tcPr>
          <w:p>
            <w:r/>
            <w:r>
              <w:rPr>
                <w:b w:val="0"/>
                <w:sz w:val="16"/>
              </w:rPr>
              <w:t>ht/h = 0.10–0.30; h/Hs = 1.2–4.5; slopes 1:1.5 &amp; 1:2; wave steepness sp = 0.015–0.04; waves only; non-overtopped; tested on fixed bed (no toe scour)</w:t>
            </w:r>
          </w:p>
        </w:tc>
        <w:tc>
          <w:tcPr>
            <w:tcW w:type="dxa" w:w="2020"/>
            <w:shd w:val="clear" w:fill="D9E1F2"/>
          </w:tcPr>
          <w:p>
            <w:r/>
            <w:r>
              <w:rPr>
                <w:b w:val="0"/>
                <w:sz w:val="16"/>
              </w:rPr>
              <w:t>Med – berm geometry fits, but assumes armour slope above + down-rush</w:t>
            </w:r>
          </w:p>
        </w:tc>
      </w:tr>
      <w:tr>
        <w:tc>
          <w:tcPr>
            <w:tcW w:type="dxa" w:w="2020"/>
          </w:tcPr>
          <w:p>
            <w:r/>
            <w:r>
              <w:rPr>
                <w:b/>
                <w:sz w:val="16"/>
              </w:rPr>
              <w:t>Herrera &amp; Medina (2015)</w:t>
            </w:r>
          </w:p>
        </w:tc>
        <w:tc>
          <w:tcPr>
            <w:tcW w:type="dxa" w:w="2020"/>
          </w:tcPr>
          <w:p>
            <w:r/>
            <w:r>
              <w:rPr>
                <w:b w:val="0"/>
                <w:sz w:val="16"/>
              </w:rPr>
              <w:t>Toe berm, very shallow + steep (m=1/10), breaking</w:t>
            </w:r>
          </w:p>
        </w:tc>
        <w:tc>
          <w:tcPr>
            <w:tcW w:type="dxa" w:w="2020"/>
          </w:tcPr>
          <w:p>
            <w:r/>
            <w:r>
              <w:rPr>
                <w:b w:val="0"/>
                <w:sz w:val="16"/>
              </w:rPr>
              <w:t>hs, Hs0, L0p (Tp), Δ, Dn50 (std Bt=3Dn50, tt=2Dn50)</w:t>
            </w:r>
          </w:p>
        </w:tc>
        <w:tc>
          <w:tcPr>
            <w:tcW w:type="dxa" w:w="2020"/>
          </w:tcPr>
          <w:p>
            <w:r/>
            <w:r>
              <w:rPr>
                <w:b w:val="0"/>
                <w:sz w:val="16"/>
              </w:rPr>
              <w:t>Nod (Eq. 12) + 90% CI</w:t>
            </w:r>
          </w:p>
        </w:tc>
        <w:tc>
          <w:tcPr>
            <w:tcW w:type="dxa" w:w="2020"/>
          </w:tcPr>
          <w:p>
            <w:r/>
            <w:r>
              <w:rPr>
                <w:b w:val="0"/>
                <w:sz w:val="16"/>
              </w:rPr>
              <w:t>Nod = 0.5 start, 2.0 moderate, 4.0 failure (CIRIA 2007)</w:t>
            </w:r>
          </w:p>
        </w:tc>
        <w:tc>
          <w:tcPr>
            <w:tcW w:type="dxa" w:w="2020"/>
          </w:tcPr>
          <w:p>
            <w:r/>
            <w:r>
              <w:rPr>
                <w:b w:val="0"/>
                <w:sz w:val="16"/>
              </w:rPr>
              <w:t>−0.15 &lt; hs/Hs0 &lt; 1.5 (negative = emerged berm); −0.5 &lt; hs/Dn50 &lt; 5.01; steepness 0.008–0.08 (Herrera Table, p.10); Ns = 0.81–3.36; m = 1/10; standard berm (Bt=3Dn50, tt=2Dn50); breaking waves only</w:t>
            </w:r>
          </w:p>
        </w:tc>
        <w:tc>
          <w:tcPr>
            <w:tcW w:type="dxa" w:w="2020"/>
          </w:tcPr>
          <w:p>
            <w:r/>
            <w:r>
              <w:rPr>
                <w:b w:val="0"/>
                <w:sz w:val="16"/>
              </w:rPr>
              <w:t>Med–high for bedrock/steep breaking; fixed geometry, waves only</w:t>
            </w:r>
          </w:p>
        </w:tc>
      </w:tr>
      <w:tr>
        <w:tc>
          <w:tcPr>
            <w:tcW w:type="dxa" w:w="2020"/>
            <w:shd w:val="clear" w:fill="D9E1F2"/>
          </w:tcPr>
          <w:p>
            <w:r/>
            <w:r>
              <w:rPr>
                <w:b/>
                <w:sz w:val="16"/>
              </w:rPr>
              <w:t>Deltares HaSPro / RoBeD (2023)</w:t>
            </w:r>
          </w:p>
        </w:tc>
        <w:tc>
          <w:tcPr>
            <w:tcW w:type="dxa" w:w="2020"/>
            <w:shd w:val="clear" w:fill="D9E1F2"/>
          </w:tcPr>
          <w:p>
            <w:r/>
            <w:r>
              <w:rPr>
                <w:b w:val="0"/>
                <w:sz w:val="16"/>
              </w:rPr>
              <w:t>Loose-rock scour protection &amp; cable-cover berms, offshore, current+waves</w:t>
            </w:r>
          </w:p>
        </w:tc>
        <w:tc>
          <w:tcPr>
            <w:tcW w:type="dxa" w:w="2020"/>
            <w:shd w:val="clear" w:fill="D9E1F2"/>
          </w:tcPr>
          <w:p>
            <w:r/>
            <w:r>
              <w:rPr>
                <w:b w:val="0"/>
                <w:sz w:val="16"/>
              </w:rPr>
              <w:t>Shields θ (→ uc, Hs, Tp, h, Δ, D50), WTOP, MTOC, Dcable, side slope</w:t>
            </w:r>
          </w:p>
        </w:tc>
        <w:tc>
          <w:tcPr>
            <w:tcW w:type="dxa" w:w="2020"/>
            <w:shd w:val="clear" w:fill="D9E1F2"/>
          </w:tcPr>
          <w:p>
            <w:r/>
            <w:r>
              <w:rPr>
                <w:b w:val="0"/>
                <w:sz w:val="16"/>
              </w:rPr>
              <w:t>berm geometry (Bberm/hberm, TOPC) + deformation class; external/interface/flexibility</w:t>
            </w:r>
          </w:p>
        </w:tc>
        <w:tc>
          <w:tcPr>
            <w:tcW w:type="dxa" w:w="2020"/>
            <w:shd w:val="clear" w:fill="D9E1F2"/>
          </w:tcPr>
          <w:p>
            <w:r/>
            <w:r>
              <w:rPr>
                <w:b w:val="0"/>
                <w:sz w:val="16"/>
              </w:rPr>
              <w:t>MOBthresh = 0.95 recommended (case-specific allowed); classes 0–3; reshaping/wash-away at θ &gt; ~0.06</w:t>
            </w:r>
          </w:p>
        </w:tc>
        <w:tc>
          <w:tcPr>
            <w:tcW w:type="dxa" w:w="2020"/>
            <w:shd w:val="clear" w:fill="D9E1F2"/>
          </w:tcPr>
          <w:p>
            <w:r/>
            <w:r>
              <w:rPr>
                <w:b w:val="0"/>
                <w:sz w:val="16"/>
              </w:rPr>
              <w:t>reshaping regime; MOB = θ/θcr (App A); θcr Soulsby Eq A.6 (incl. 1.2 factor); ks = 2.5·D50; perpendicular wave+current assumed; offshore-calibrated</w:t>
            </w:r>
          </w:p>
        </w:tc>
        <w:tc>
          <w:tcPr>
            <w:tcW w:type="dxa" w:w="2020"/>
            <w:shd w:val="clear" w:fill="D9E1F2"/>
          </w:tcPr>
          <w:p>
            <w:r/>
            <w:r>
              <w:rPr>
                <w:b w:val="0"/>
                <w:sz w:val="16"/>
              </w:rPr>
              <w:t>High – only one explicitly for cable berms + 3 requirements</w:t>
            </w:r>
          </w:p>
        </w:tc>
      </w:tr>
    </w:tbl>
    <w:p/>
    <w:p>
      <w:r>
        <w:rPr>
          <w:b/>
        </w:rPr>
        <w:t>Table 2  Situation → method (verified, no changes)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535"/>
        <w:gridCol w:w="3535"/>
        <w:gridCol w:w="3535"/>
        <w:gridCol w:w="3535"/>
      </w:tblGrid>
      <w:tr>
        <w:tc>
          <w:tcPr>
            <w:tcW w:type="dxa" w:w="3535"/>
            <w:shd w:val="clear" w:fill="1F3864"/>
          </w:tcPr>
          <w:p>
            <w:r/>
            <w:r>
              <w:rPr>
                <w:b/>
                <w:color w:val="FFFFFF"/>
                <w:sz w:val="18"/>
              </w:rPr>
              <w:t>Situation</w:t>
            </w:r>
          </w:p>
        </w:tc>
        <w:tc>
          <w:tcPr>
            <w:tcW w:type="dxa" w:w="3535"/>
            <w:shd w:val="clear" w:fill="1F3864"/>
          </w:tcPr>
          <w:p>
            <w:r/>
            <w:r>
              <w:rPr>
                <w:b/>
                <w:color w:val="FFFFFF"/>
                <w:sz w:val="18"/>
              </w:rPr>
              <w:t>Primary method</w:t>
            </w:r>
          </w:p>
        </w:tc>
        <w:tc>
          <w:tcPr>
            <w:tcW w:type="dxa" w:w="3535"/>
            <w:shd w:val="clear" w:fill="1F3864"/>
          </w:tcPr>
          <w:p>
            <w:r/>
            <w:r>
              <w:rPr>
                <w:b/>
                <w:color w:val="FFFFFF"/>
                <w:sz w:val="18"/>
              </w:rPr>
              <w:t>Supporting / check</w:t>
            </w:r>
          </w:p>
        </w:tc>
        <w:tc>
          <w:tcPr>
            <w:tcW w:type="dxa" w:w="3535"/>
            <w:shd w:val="clear" w:fill="1F3864"/>
          </w:tcPr>
          <w:p>
            <w:r/>
            <w:r>
              <w:rPr>
                <w:b/>
                <w:color w:val="FFFFFF"/>
                <w:sz w:val="18"/>
              </w:rPr>
              <w:t>Why</w:t>
            </w:r>
          </w:p>
        </w:tc>
      </w:tr>
      <w:tr>
        <w:tc>
          <w:tcPr>
            <w:tcW w:type="dxa" w:w="3535"/>
          </w:tcPr>
          <w:p>
            <w:r/>
            <w:r>
              <w:rPr>
                <w:b w:val="0"/>
                <w:sz w:val="17"/>
              </w:rPr>
              <w:t>Bedrock, steep nearshore, breaking waves</w:t>
            </w:r>
          </w:p>
        </w:tc>
        <w:tc>
          <w:tcPr>
            <w:tcW w:type="dxa" w:w="3535"/>
          </w:tcPr>
          <w:p>
            <w:r/>
            <w:r>
              <w:rPr>
                <w:b/>
                <w:sz w:val="17"/>
              </w:rPr>
              <w:t>Herrera &amp; Medina (2015)</w:t>
            </w:r>
          </w:p>
        </w:tc>
        <w:tc>
          <w:tcPr>
            <w:tcW w:type="dxa" w:w="3535"/>
          </w:tcPr>
          <w:p>
            <w:r/>
            <w:r>
              <w:rPr>
                <w:b w:val="0"/>
                <w:sz w:val="17"/>
              </w:rPr>
              <w:t>Van Gent (range check); Hudson (first estimate)</w:t>
            </w:r>
          </w:p>
        </w:tc>
        <w:tc>
          <w:tcPr>
            <w:tcW w:type="dxa" w:w="3535"/>
          </w:tcPr>
          <w:p>
            <w:r/>
            <w:r>
              <w:rPr>
                <w:b w:val="0"/>
                <w:sz w:val="17"/>
              </w:rPr>
              <w:t>Only method for steep bottom + breaking; shows that gentle-slope formulas fail here.</w:t>
            </w:r>
          </w:p>
        </w:tc>
      </w:tr>
      <w:tr>
        <w:tc>
          <w:tcPr>
            <w:tcW w:type="dxa" w:w="3535"/>
            <w:shd w:val="clear" w:fill="D9E1F2"/>
          </w:tcPr>
          <w:p>
            <w:r/>
            <w:r>
              <w:rPr>
                <w:b w:val="0"/>
                <w:sz w:val="17"/>
              </w:rPr>
              <w:t>Mobile sand, combined waves + current (crossing/obstacle)</w:t>
            </w:r>
          </w:p>
        </w:tc>
        <w:tc>
          <w:tcPr>
            <w:tcW w:type="dxa" w:w="3535"/>
            <w:shd w:val="clear" w:fill="D9E1F2"/>
          </w:tcPr>
          <w:p>
            <w:r/>
            <w:r>
              <w:rPr>
                <w:b/>
                <w:sz w:val="17"/>
              </w:rPr>
              <w:t>Van Rijn (2019)</w:t>
            </w:r>
          </w:p>
        </w:tc>
        <w:tc>
          <w:tcPr>
            <w:tcW w:type="dxa" w:w="3535"/>
            <w:shd w:val="clear" w:fill="D9E1F2"/>
          </w:tcPr>
          <w:p>
            <w:r/>
            <w:r>
              <w:rPr>
                <w:b w:val="0"/>
                <w:sz w:val="17"/>
              </w:rPr>
              <w:t>Deltares RoBeD (deformation + interface/flexibility)</w:t>
            </w:r>
          </w:p>
        </w:tc>
        <w:tc>
          <w:tcPr>
            <w:tcW w:type="dxa" w:w="3535"/>
            <w:shd w:val="clear" w:fill="D9E1F2"/>
          </w:tcPr>
          <w:p>
            <w:r/>
            <w:r>
              <w:rPr>
                <w:b w:val="0"/>
                <w:sz w:val="17"/>
              </w:rPr>
              <w:t>Only method with genuine wave+current on a bed; Deltares covers winnowing/falling apron on sand.</w:t>
            </w:r>
          </w:p>
        </w:tc>
      </w:tr>
      <w:tr>
        <w:tc>
          <w:tcPr>
            <w:tcW w:type="dxa" w:w="3535"/>
          </w:tcPr>
          <w:p>
            <w:r/>
            <w:r>
              <w:rPr>
                <w:b w:val="0"/>
                <w:sz w:val="17"/>
              </w:rPr>
              <w:t>Cable berm geometry &amp; reshaping/deformation (any)</w:t>
            </w:r>
          </w:p>
        </w:tc>
        <w:tc>
          <w:tcPr>
            <w:tcW w:type="dxa" w:w="3535"/>
          </w:tcPr>
          <w:p>
            <w:r/>
            <w:r>
              <w:rPr>
                <w:b/>
                <w:sz w:val="17"/>
              </w:rPr>
              <w:t>Deltares RoBeD (2023)</w:t>
            </w:r>
          </w:p>
        </w:tc>
        <w:tc>
          <w:tcPr>
            <w:tcW w:type="dxa" w:w="3535"/>
          </w:tcPr>
          <w:p>
            <w:r/>
            <w:r>
              <w:rPr>
                <w:b w:val="0"/>
                <w:sz w:val="17"/>
              </w:rPr>
              <w:t>Van Rijn (D50 sizing)</w:t>
            </w:r>
          </w:p>
        </w:tc>
        <w:tc>
          <w:tcPr>
            <w:tcW w:type="dxa" w:w="3535"/>
          </w:tcPr>
          <w:p>
            <w:r/>
            <w:r>
              <w:rPr>
                <w:b w:val="0"/>
                <w:sz w:val="17"/>
              </w:rPr>
              <w:t>Provides berm geometry + deformation class rather than only D50.</w:t>
            </w:r>
          </w:p>
        </w:tc>
      </w:tr>
      <w:tr>
        <w:tc>
          <w:tcPr>
            <w:tcW w:type="dxa" w:w="3535"/>
            <w:shd w:val="clear" w:fill="D9E1F2"/>
          </w:tcPr>
          <w:p>
            <w:r/>
            <w:r>
              <w:rPr>
                <w:b w:val="0"/>
                <w:sz w:val="17"/>
              </w:rPr>
              <w:t>Quick first sizing / sanity check</w:t>
            </w:r>
          </w:p>
        </w:tc>
        <w:tc>
          <w:tcPr>
            <w:tcW w:type="dxa" w:w="3535"/>
            <w:shd w:val="clear" w:fill="D9E1F2"/>
          </w:tcPr>
          <w:p>
            <w:r/>
            <w:r>
              <w:rPr>
                <w:b/>
                <w:sz w:val="17"/>
              </w:rPr>
              <w:t>Hudson / Van der Meer</w:t>
            </w:r>
          </w:p>
        </w:tc>
        <w:tc>
          <w:tcPr>
            <w:tcW w:type="dxa" w:w="3535"/>
            <w:shd w:val="clear" w:fill="D9E1F2"/>
          </w:tcPr>
          <w:p>
            <w:r/>
            <w:r>
              <w:rPr>
                <w:b w:val="0"/>
                <w:sz w:val="17"/>
              </w:rPr>
              <w:t>—</w:t>
            </w:r>
          </w:p>
        </w:tc>
        <w:tc>
          <w:tcPr>
            <w:tcW w:type="dxa" w:w="3535"/>
            <w:shd w:val="clear" w:fill="D9E1F2"/>
          </w:tcPr>
          <w:p>
            <w:r/>
            <w:r>
              <w:rPr>
                <w:b w:val="0"/>
                <w:sz w:val="17"/>
              </w:rPr>
              <w:t>Classical and fast, but without wave period or current.</w:t>
            </w:r>
          </w:p>
        </w:tc>
      </w:tr>
    </w:tbl>
    <w:p/>
    <w:p>
      <w:r>
        <w:rPr>
          <w:b/>
        </w:rPr>
        <w:t>Sources &amp; verification notes</w:t>
      </w:r>
    </w:p>
    <w:p>
      <w:r>
        <w:rPr>
          <w:b/>
        </w:rPr>
        <w:t xml:space="preserve">Hudson (1953/59) — </w:t>
      </w:r>
      <w:r>
        <w:rPr>
          <w:i/>
        </w:rPr>
        <w:t xml:space="preserve">Source: </w:t>
      </w:r>
      <w:r>
        <w:t>CIRIA C683 Rock Manual (2007), §5.2.2.2 (Eq. 5.133–5.135) and Table 5.29 (p.579); Schiereck &amp; Verhagen (2019), §8.3.2, Eq. 8.10.</w:t>
      </w:r>
    </w:p>
    <w:p>
      <w:pPr>
        <w:ind w:left="340"/>
      </w:pPr>
      <w:r>
        <w:rPr>
          <w:sz w:val="18"/>
        </w:rPr>
        <w:t>VERIFIED against CIRIA. CIRIA gives NO strict cotα validity range for Hudson (unlike Van der Meer). Derived from regular-wave tests on permeable-core structures. KD = 4 (non-breaking) / 2 (breaking, per SPM 1984); impermeable core only with KD = 1. Per Table 5.29 Hudson is applicable for deep to shallow water but NOT very shallow (Hs-toe &lt; 70% Hso). Your earlier 1.5–4 is not in CIRIA; use Schiereck’s 1:1.5–1:6 or drop the upper bound.</w:t>
      </w:r>
    </w:p>
    <w:p>
      <w:r>
        <w:rPr>
          <w:b/>
        </w:rPr>
        <w:t xml:space="preserve">Van der Meer (1988/98) — </w:t>
      </w:r>
      <w:r>
        <w:rPr>
          <w:i/>
        </w:rPr>
        <w:t xml:space="preserve">Source: </w:t>
      </w:r>
      <w:r>
        <w:t>CIRIA C683 Rock Manual (2007), Table 5.24 (p.570, deep-water validity) and Table 5.29 (fields of application); Schiereck &amp; Verhagen (2019), §8.3.2–8.3.3.</w:t>
      </w:r>
    </w:p>
    <w:p>
      <w:pPr>
        <w:ind w:left="340"/>
      </w:pPr>
      <w:r>
        <w:rPr>
          <w:sz w:val="18"/>
        </w:rPr>
        <w:t>VERIFIED against CIRIA Table 5.24 (authoritative). Deep water (h &gt; 3·Hs-toe): cotα = 1.5–6, N &lt; 7500, som = 0.01–0.06, ξm = 0.7–7, Δ = 1–2.1 (for Δ up to 3.5 → cotα ≥ 2), P = 0.1–0.6 (P = 0.1 impermeable, 0.4 armour+filter on permeable core, 0.5 armour on permeable core, 0.6 homogeneous). Plunging/surging split. The shallow-water form (Van Gent et al. 2004, needs H2%) covers very shallow water only and is OUT OF SCOPE for this thesis.</w:t>
      </w:r>
    </w:p>
    <w:p>
      <w:r>
        <w:rPr>
          <w:b/>
        </w:rPr>
        <w:t xml:space="preserve">Van Rijn (2019) — </w:t>
      </w:r>
      <w:r>
        <w:rPr>
          <w:i/>
        </w:rPr>
        <w:t xml:space="preserve">Source: </w:t>
      </w:r>
      <w:r>
        <w:t>van Rijn (2019), Critical movement of large rocks in currents and waves, Eq. 3 (θcr), Eq. 5 (wave+current), Table 1 (fc/fw ranges); Cheng (2002) for the dynamic case.</w:t>
      </w:r>
    </w:p>
    <w:p>
      <w:pPr>
        <w:ind w:left="340"/>
      </w:pPr>
      <w:r>
        <w:rPr>
          <w:sz w:val="18"/>
        </w:rPr>
        <w:t>VERIFIED against the paper. Added vs your table: roughness ratio h/(αD50) &amp; Aw/(αD50) = 10–300, and D50 is the sieve diameter with D50 ≈ 1.2·Dn50 (convert if inputs are nominal Dn50).</w:t>
      </w:r>
    </w:p>
    <w:p>
      <w:r>
        <w:rPr>
          <w:b/>
        </w:rPr>
        <w:t xml:space="preserve">Van Gent &amp; Van der Werf (2014) — </w:t>
      </w:r>
      <w:r>
        <w:rPr>
          <w:i/>
        </w:rPr>
        <w:t xml:space="preserve">Source: </w:t>
      </w:r>
      <w:r>
        <w:t>van Gent &amp; van der Werf (2014), Rock toe stability of rubble mound breakwaters, validity statements in the paper (ht/h and h/Hs ranges, tested steepnesses).</w:t>
      </w:r>
    </w:p>
    <w:p>
      <w:pPr>
        <w:ind w:left="340"/>
      </w:pPr>
      <w:r>
        <w:rPr>
          <w:sz w:val="18"/>
        </w:rPr>
        <w:t>VERIFIED against the paper. Added vs your table: wave steepness sp = 0.015–0.04 (tested), non-overtopped structure, and the tests used a fixed (non-mobile) bed so toe scour was excluded. Uses Tm-1,0 (spectral period) and Hs = Hm0.</w:t>
      </w:r>
    </w:p>
    <w:p>
      <w:r>
        <w:rPr>
          <w:b/>
        </w:rPr>
        <w:t xml:space="preserve">Herrera &amp; Medina (2015) — </w:t>
      </w:r>
      <w:r>
        <w:rPr>
          <w:i/>
        </w:rPr>
        <w:t xml:space="preserve">Source: </w:t>
      </w:r>
      <w:r>
        <w:t>Herrera &amp; Medina (2015), Toe berm design for very shallow waters on steep sea bottoms, Eq. 12; validity ranges §2; damage levels after CIRIA Rock Manual (2007).</w:t>
      </w:r>
    </w:p>
    <w:p>
      <w:pPr>
        <w:ind w:left="340"/>
      </w:pPr>
      <w:r>
        <w:rPr>
          <w:sz w:val="18"/>
        </w:rPr>
        <w:t>VERIFIED against the paper (pages you sent). −0.15 &lt; hs/Hs0 &lt; 1.5 is correct (negative lower bound = emerged berm). Damage levels per CIRIA (2007): Nod = 0.5 (start), 2.0 (moderate), 4.0 (failure). REMOVED “Nod = 1 = design” – it is not in Herrera’s cited criteria. CORRECTED steepness: Herrera’s own validity table (p.10, column “This study”) gives 0.008–0.08, not 0.02–0.07, and Ns = 0.81–3.36 (verify the exact steepness symbol s0p vs stp when you cite it). SCOPE NOTE: Herrera’s domain (very shallow, m=1/10, heavy breaking) sits at the edge of or just outside this thesis’s nearshore domain, so it will rarely be the governing method here.</w:t>
      </w:r>
    </w:p>
    <w:p>
      <w:r>
        <w:rPr>
          <w:b/>
        </w:rPr>
        <w:t xml:space="preserve">Deltares HaSPro / RoBeD (2023) — </w:t>
      </w:r>
      <w:r>
        <w:rPr>
          <w:i/>
        </w:rPr>
        <w:t xml:space="preserve">Source: </w:t>
      </w:r>
      <w:r>
        <w:t>Deltares (2023), Handbook of Scour and Cable Protection Methods, §5.2–5.3 (RoBeD, p.73–75), Appendix A (mobility number, Eq. A.1 &amp; A.6). Polynomial coefficients themselves are in the loose-rock analysis report Deltares (2023n), which is not in our set.</w:t>
      </w:r>
    </w:p>
    <w:p>
      <w:pPr>
        <w:ind w:left="340"/>
      </w:pPr>
      <w:r>
        <w:rPr>
          <w:sz w:val="18"/>
        </w:rPr>
        <w:t>The handbook’s RoBeD section explicitly recommends MOBthresh = 0.95 for the rock-berm model, so “no fixed default” understates the source. MOB = θ/θcr; θcr from Soulsby (Eq. A.6, which keeps the 1.2 factor) and ks = 2.5·D50 for the mobility calc – note these differ from the Van Rijn (2019) θcr form used elsewhere.</w:t>
      </w:r>
    </w:p>
    <w:sectPr w:rsidR="00FC693F" w:rsidRPr="0006063C" w:rsidSect="00034616">
      <w:pgSz w:w="15840" w:h="12240" w:orient="landscape"/>
      <w:pgMar w:top="850" w:right="850" w:bottom="85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