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:rsidR="00592EDD" w:rsidRDefault="00592EDD" w:rsidP="009E03DE">
      <w:pPr>
        <w:spacing w:after="0"/>
        <w:rPr>
          <w:b/>
          <w:sz w:val="28"/>
          <w:u w:val="single"/>
        </w:rPr>
      </w:pPr>
    </w:p>
    <w:p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Evolução do Software: o software evolui para atender às necessidades de mudança do cliente.</w:t>
      </w:r>
    </w:p>
    <w:p w:rsidR="009E03DE" w:rsidRDefault="009E03DE" w:rsidP="009E03DE">
      <w:pPr>
        <w:spacing w:after="0"/>
        <w:rPr>
          <w:b/>
          <w:sz w:val="28"/>
          <w:u w:val="single"/>
        </w:rPr>
      </w:pPr>
    </w:p>
    <w:p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Elicitação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r w:rsidR="00D90107" w:rsidRPr="00D90107">
        <w:rPr>
          <w:rFonts w:cs="Helvetica"/>
          <w:b/>
          <w:bCs/>
        </w:rPr>
        <w:t>elicitação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proofErr w:type="gramStart"/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proofErr w:type="gramEnd"/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uma visão espiral do processo de engenharia de requisitos, a partir do início até sua conclusão, a especificação de requisitos ocorre na seguinte ordem: especificação de requisitos de negocio, de usuário e de sistema.</w:t>
      </w:r>
    </w:p>
    <w:p w:rsidR="00592EDD" w:rsidRDefault="00592EDD" w:rsidP="00592EDD">
      <w:pPr>
        <w:spacing w:after="0"/>
        <w:rPr>
          <w:b/>
          <w:sz w:val="28"/>
          <w:u w:val="single"/>
        </w:rPr>
      </w:pPr>
    </w:p>
    <w:p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316563" w:rsidRDefault="00316563" w:rsidP="00BC0134">
      <w:pPr>
        <w:spacing w:after="0"/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 xml:space="preserve">Requisitos de Entrega, </w:t>
      </w:r>
      <w:proofErr w:type="gramStart"/>
      <w:r>
        <w:rPr>
          <w:rStyle w:val="nfase"/>
          <w:rFonts w:ascii="Tahoma" w:hAnsi="Tahoma" w:cs="Tahoma"/>
          <w:color w:val="666666"/>
          <w:sz w:val="21"/>
          <w:szCs w:val="21"/>
        </w:rPr>
        <w:t>Implementação</w:t>
      </w:r>
      <w:proofErr w:type="gramEnd"/>
      <w:r>
        <w:rPr>
          <w:rStyle w:val="nfase"/>
          <w:rFonts w:ascii="Tahoma" w:hAnsi="Tahoma" w:cs="Tahoma"/>
          <w:color w:val="666666"/>
          <w:sz w:val="21"/>
          <w:szCs w:val="21"/>
        </w:rPr>
        <w:t xml:space="preserve"> e Padrões.</w:t>
      </w:r>
    </w:p>
    <w:p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são os requisitos que se modificam em função de mudanças no ambiente no qual o sistema opera. Por exemplo, os requisitos para um sistema 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que calcula taxas de dedução que evolui conforme as leis fiscais são atualizadas (muito comum no Brasil).</w:t>
      </w:r>
    </w:p>
    <w:p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especificação funcional) deve definir exatamente o que deve ser </w:t>
      </w:r>
      <w:proofErr w:type="gramStart"/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implementado</w:t>
      </w:r>
      <w:proofErr w:type="gramEnd"/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As principais atividades do processo de elicitação e análise de requisitos são:</w:t>
      </w:r>
    </w:p>
    <w:p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>As atividades do processo de elicitação de requisitos são:</w:t>
      </w:r>
    </w:p>
    <w:p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Essa atividade toma a coleção de requisitos não estruturados, agrupa requisitos relacionados e os organiza em grupos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>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implementados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 xml:space="preserve">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implementável.</w:t>
      </w:r>
    </w:p>
    <w:p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Forma a evitar futuras discordâncias quanto à concretização dos requisitos especificados, estes devem ser descritos de forma que seja possível verificar se foram ou não </w:t>
      </w:r>
      <w:proofErr w:type="gramStart"/>
      <w:r w:rsidR="00C15940" w:rsidRPr="00C15940">
        <w:rPr>
          <w:rFonts w:ascii="Tahoma" w:hAnsi="Tahoma" w:cs="Tahoma"/>
          <w:color w:val="666666"/>
          <w:sz w:val="21"/>
          <w:szCs w:val="21"/>
        </w:rPr>
        <w:t>implementados</w:t>
      </w:r>
      <w:proofErr w:type="gramEnd"/>
      <w:r w:rsidR="00C15940" w:rsidRPr="00C15940">
        <w:rPr>
          <w:rFonts w:ascii="Tahoma" w:hAnsi="Tahoma" w:cs="Tahoma"/>
          <w:color w:val="666666"/>
          <w:sz w:val="21"/>
          <w:szCs w:val="21"/>
        </w:rPr>
        <w:t>.</w:t>
      </w:r>
    </w:p>
    <w:p w:rsid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 xml:space="preserve"> requisitos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são entendido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por todos da mesma maneira.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 xml:space="preserve"> descreve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todas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demandas necessárias.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modificabilidade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: </w:t>
      </w:r>
      <w:r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bookmarkStart w:id="0" w:name="_GoBack"/>
      <w:bookmarkEnd w:id="0"/>
    </w:p>
    <w:p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assegurar, usando o conhecimento das tecnologias existentes, que os requisitos verificados possam ser realmente </w:t>
      </w:r>
      <w:proofErr w:type="gramStart"/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implementados</w:t>
      </w:r>
      <w:proofErr w:type="gramEnd"/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Gattoni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politicas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lastRenderedPageBreak/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palavra chave: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geralmente em reuniões entre a equipe de Análise de Sistemas e 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contratante</w:t>
      </w:r>
      <w:proofErr w:type="gramEnd"/>
    </w:p>
    <w:p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</w:t>
      </w:r>
      <w:proofErr w:type="gramStart"/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implementação</w:t>
      </w:r>
      <w:proofErr w:type="gramEnd"/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 para qualquer representação do software;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Diz respeito à organização das questões em uma </w:t>
      </w:r>
      <w:r>
        <w:rPr>
          <w:rFonts w:ascii="Helvetica" w:hAnsi="Helvetica" w:cs="Helvetica"/>
          <w:color w:val="343A40"/>
          <w:sz w:val="21"/>
          <w:szCs w:val="21"/>
        </w:rPr>
        <w:t>sequência</w:t>
      </w:r>
      <w:r>
        <w:rPr>
          <w:rFonts w:ascii="Helvetica" w:hAnsi="Helvetica" w:cs="Helvetica"/>
          <w:color w:val="343A40"/>
          <w:sz w:val="21"/>
          <w:szCs w:val="21"/>
        </w:rPr>
        <w:t xml:space="preserve"> lógica. Há quatro formas básicas de se estabelecer a </w:t>
      </w:r>
      <w:r>
        <w:rPr>
          <w:rFonts w:ascii="Helvetica" w:hAnsi="Helvetica" w:cs="Helvetica"/>
          <w:color w:val="343A40"/>
          <w:sz w:val="21"/>
          <w:szCs w:val="21"/>
        </w:rPr>
        <w:t>sequência</w:t>
      </w:r>
      <w:r>
        <w:rPr>
          <w:rFonts w:ascii="Helvetica" w:hAnsi="Helvetica" w:cs="Helvetica"/>
          <w:color w:val="343A40"/>
          <w:sz w:val="21"/>
          <w:szCs w:val="21"/>
        </w:rPr>
        <w:t xml:space="preserve"> das questões: 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perguntas mais específicas, usando questões objetivas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, são feitas. Esta estrutura provê um meio fácil e não ameaçador para se começar uma bateria de entrevistas. Permite levantar bastante informação 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proofErr w:type="gramStart"/>
      <w:r>
        <w:rPr>
          <w:rFonts w:ascii="Helvetica" w:hAnsi="Helvetica" w:cs="Helvetica"/>
          <w:color w:val="343A40"/>
          <w:sz w:val="21"/>
          <w:szCs w:val="21"/>
        </w:rPr>
        <w:t>, 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 melhor forma de se estruturar uma entrevista, já que mantém o interesse do entrevistado em uma variedade de questões. Contudo, tende a ser mais longa.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8"/>
  </w:num>
  <w:num w:numId="4">
    <w:abstractNumId w:val="8"/>
  </w:num>
  <w:num w:numId="5">
    <w:abstractNumId w:val="0"/>
  </w:num>
  <w:num w:numId="6">
    <w:abstractNumId w:val="9"/>
  </w:num>
  <w:num w:numId="7">
    <w:abstractNumId w:val="15"/>
  </w:num>
  <w:num w:numId="8">
    <w:abstractNumId w:val="3"/>
  </w:num>
  <w:num w:numId="9">
    <w:abstractNumId w:val="6"/>
  </w:num>
  <w:num w:numId="10">
    <w:abstractNumId w:val="24"/>
  </w:num>
  <w:num w:numId="11">
    <w:abstractNumId w:val="11"/>
  </w:num>
  <w:num w:numId="12">
    <w:abstractNumId w:val="12"/>
  </w:num>
  <w:num w:numId="13">
    <w:abstractNumId w:val="13"/>
  </w:num>
  <w:num w:numId="14">
    <w:abstractNumId w:val="23"/>
  </w:num>
  <w:num w:numId="15">
    <w:abstractNumId w:val="27"/>
  </w:num>
  <w:num w:numId="16">
    <w:abstractNumId w:val="16"/>
  </w:num>
  <w:num w:numId="17">
    <w:abstractNumId w:val="26"/>
  </w:num>
  <w:num w:numId="18">
    <w:abstractNumId w:val="22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0"/>
  </w:num>
  <w:num w:numId="24">
    <w:abstractNumId w:val="7"/>
  </w:num>
  <w:num w:numId="25">
    <w:abstractNumId w:val="21"/>
  </w:num>
  <w:num w:numId="26">
    <w:abstractNumId w:val="4"/>
  </w:num>
  <w:num w:numId="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185C70"/>
    <w:rsid w:val="00194778"/>
    <w:rsid w:val="00275D52"/>
    <w:rsid w:val="002A5CC8"/>
    <w:rsid w:val="002B6F1E"/>
    <w:rsid w:val="002C03DC"/>
    <w:rsid w:val="00315992"/>
    <w:rsid w:val="00316563"/>
    <w:rsid w:val="00321EDF"/>
    <w:rsid w:val="00336866"/>
    <w:rsid w:val="00401B62"/>
    <w:rsid w:val="004856D0"/>
    <w:rsid w:val="004E1B63"/>
    <w:rsid w:val="005834A7"/>
    <w:rsid w:val="00592EDD"/>
    <w:rsid w:val="005979A0"/>
    <w:rsid w:val="005A671D"/>
    <w:rsid w:val="0063711C"/>
    <w:rsid w:val="006F43FF"/>
    <w:rsid w:val="00747082"/>
    <w:rsid w:val="0075389C"/>
    <w:rsid w:val="00777E8D"/>
    <w:rsid w:val="00781BF3"/>
    <w:rsid w:val="00807494"/>
    <w:rsid w:val="0087346D"/>
    <w:rsid w:val="008B16B8"/>
    <w:rsid w:val="008F505F"/>
    <w:rsid w:val="009355D2"/>
    <w:rsid w:val="009C6813"/>
    <w:rsid w:val="009E03DE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32225</TotalTime>
  <Pages>7</Pages>
  <Words>2899</Words>
  <Characters>15656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25</cp:revision>
  <dcterms:created xsi:type="dcterms:W3CDTF">2019-01-28T15:42:00Z</dcterms:created>
  <dcterms:modified xsi:type="dcterms:W3CDTF">2021-03-11T12:03:00Z</dcterms:modified>
</cp:coreProperties>
</file>