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99" w:rsidRPr="00F2511C" w:rsidRDefault="00F2511C" w:rsidP="00F2511C">
      <w:pPr>
        <w:jc w:val="center"/>
        <w:rPr>
          <w:sz w:val="40"/>
          <w:szCs w:val="40"/>
        </w:rPr>
      </w:pPr>
      <w:r w:rsidRPr="00F2511C">
        <w:rPr>
          <w:sz w:val="40"/>
          <w:szCs w:val="40"/>
        </w:rPr>
        <w:t>ITIL</w:t>
      </w:r>
    </w:p>
    <w:p w:rsidR="00581CE1" w:rsidRPr="00581CE1" w:rsidRDefault="00581CE1" w:rsidP="00581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proofErr w:type="gram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4</w:t>
      </w:r>
      <w:proofErr w:type="gram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</w:t>
      </w:r>
      <w:proofErr w:type="spell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Ps</w:t>
      </w:r>
      <w:proofErr w:type="spell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da Estratégia: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Perspectiva </w:t>
      </w: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Define a visão e missão da organização. Define a filosofia de interação do provedor de serviços com o cliente e orienta sobre a maneira como os serviços devem ser entregues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Posição </w:t>
      </w: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descreve a decisão sobre qual imagem a organização quer passar aos clientes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Plano </w:t>
      </w: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traduz a estratégia para ações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Padrão </w:t>
      </w:r>
      <w:r w:rsidRPr="00581CE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- descreve a maneira de fazer as ações consistentes ao longo do tempo</w:t>
      </w:r>
      <w:r w:rsidR="007F7B5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81CE1" w:rsidRPr="00581CE1" w:rsidRDefault="00581CE1" w:rsidP="00581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proofErr w:type="gram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4</w:t>
      </w:r>
      <w:proofErr w:type="gram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</w:t>
      </w:r>
      <w:proofErr w:type="spellStart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>Ps</w:t>
      </w:r>
      <w:proofErr w:type="spellEnd"/>
      <w:r w:rsidRPr="00581CE1">
        <w:rPr>
          <w:rFonts w:ascii="Helvetica" w:eastAsia="Times New Roman" w:hAnsi="Helvetica" w:cs="Helvetica"/>
          <w:b/>
          <w:color w:val="0000FF"/>
          <w:sz w:val="21"/>
          <w:szCs w:val="21"/>
          <w:u w:val="single"/>
          <w:lang w:eastAsia="pt-BR"/>
        </w:rPr>
        <w:t xml:space="preserve"> do Service Design</w:t>
      </w:r>
    </w:p>
    <w:p w:rsidR="00581CE1" w:rsidRPr="00581CE1" w:rsidRDefault="00581CE1" w:rsidP="00581CE1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Pessoas - Habilidades e competências necessárias para prover o serviço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Parceiros - Fornecedores que auxiliam o provimento do serviço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581CE1" w:rsidRDefault="00581CE1" w:rsidP="00581CE1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Produtos - HW, SW e tecnologias necessárias para entregar o serviço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Pr="00624273" w:rsidRDefault="00581CE1" w:rsidP="00624273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rPr>
          <w:rStyle w:val="Forte"/>
          <w:rFonts w:ascii="Helvetica" w:eastAsia="Times New Roman" w:hAnsi="Helvetica" w:cs="Helvetica"/>
          <w:b w:val="0"/>
          <w:bCs w:val="0"/>
          <w:color w:val="343A40"/>
          <w:sz w:val="21"/>
          <w:szCs w:val="21"/>
          <w:lang w:eastAsia="pt-BR"/>
        </w:rPr>
      </w:pPr>
      <w:r w:rsidRPr="00581CE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- Papéis e atividades envolvidos para prover o serviço</w:t>
      </w:r>
      <w:r w:rsidR="007F7B5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81CE1" w:rsidRDefault="00581CE1" w:rsidP="00F2511C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Biblioteca de mídia definitiva (BMD)</w:t>
      </w: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(</w:t>
      </w:r>
      <w:r w:rsidRPr="00AC0EDD">
        <w:rPr>
          <w:rFonts w:ascii="Helvetica" w:hAnsi="Helvetica" w:cs="Helvetica"/>
          <w:b/>
          <w:color w:val="343A40"/>
          <w:sz w:val="21"/>
          <w:szCs w:val="21"/>
        </w:rPr>
        <w:t>Transição de Serviço da ITIL</w:t>
      </w:r>
      <w:r>
        <w:rPr>
          <w:rFonts w:ascii="Helvetica" w:hAnsi="Helvetica" w:cs="Helvetica"/>
          <w:color w:val="343A40"/>
          <w:sz w:val="21"/>
          <w:szCs w:val="21"/>
        </w:rPr>
        <w:t>) Uma ou mais localidades em que as versões definitivas e autorizadas de todos os itens de configuração de software são armazenadas de maneira segura. A biblioteca de mídia definitiva também pode conter itens de configuração associados, como licenças e documentação. Ela é uma área única de armazenamento lógico, mesmo que existam diversas localidades. A biblioteca de mídia definitiva é controlada pelo gerenciamento de configuração e ativo de serviço e é registrada no sistema de gerenciamento de configuração.</w:t>
      </w:r>
    </w:p>
    <w:p w:rsidR="00A00A44" w:rsidRPr="00A00A44" w:rsidRDefault="00A00A44" w:rsidP="00A00A44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color w:val="343A40"/>
          <w:sz w:val="21"/>
          <w:szCs w:val="21"/>
        </w:rPr>
      </w:pPr>
      <w:r w:rsidRPr="00A00A44">
        <w:rPr>
          <w:rFonts w:ascii="Helvetica" w:hAnsi="Helvetica" w:cs="Helvetica"/>
          <w:b/>
          <w:color w:val="343A40"/>
          <w:sz w:val="21"/>
          <w:szCs w:val="21"/>
        </w:rPr>
        <w:t>Saídas dos Estágios</w:t>
      </w: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t>Estratégia de serviços:</w:t>
      </w:r>
      <w:r>
        <w:rPr>
          <w:rFonts w:ascii="Helvetica" w:hAnsi="Helvetica" w:cs="Helvetica"/>
          <w:color w:val="000000"/>
          <w:sz w:val="21"/>
          <w:szCs w:val="21"/>
        </w:rPr>
        <w:t> identificação de requisitos e necessidades de negócio que sejam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“atendíveis” por serviços de TI. Os requisitos e necessidades são acordados e </w:t>
      </w:r>
      <w:r w:rsidR="00A00A44">
        <w:rPr>
          <w:rFonts w:ascii="Helvetica" w:hAnsi="Helvetica" w:cs="Helvetica"/>
          <w:color w:val="000000"/>
          <w:sz w:val="21"/>
          <w:szCs w:val="21"/>
        </w:rPr>
        <w:t>d</w:t>
      </w:r>
      <w:r>
        <w:rPr>
          <w:rFonts w:ascii="Helvetica" w:hAnsi="Helvetica" w:cs="Helvetica"/>
          <w:color w:val="000000"/>
          <w:sz w:val="21"/>
          <w:szCs w:val="21"/>
        </w:rPr>
        <w:t>ocumentados em um SLP (service level package ou pacote de nível de serviços).</w:t>
      </w:r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Desenho de serviços</w:t>
      </w:r>
      <w:r>
        <w:rPr>
          <w:rStyle w:val="Forte"/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Helvetica" w:hAnsi="Helvetica" w:cs="Helvetica"/>
          <w:color w:val="000000"/>
          <w:sz w:val="21"/>
          <w:szCs w:val="21"/>
        </w:rPr>
        <w:t> a partir dos requisitos é concebida a solução de TI em forma de serviços, em todos os seus aspectos, que são documentados em um </w:t>
      </w:r>
      <w:r>
        <w:rPr>
          <w:rFonts w:ascii="Helvetica" w:hAnsi="Helvetica" w:cs="Helvetica"/>
          <w:color w:val="0000FF"/>
          <w:sz w:val="21"/>
          <w:szCs w:val="21"/>
          <w:u w:val="single"/>
        </w:rPr>
        <w:t>SDP (service design package ou pacote de desenho de serviço).</w:t>
      </w:r>
      <w:r>
        <w:rPr>
          <w:rFonts w:ascii="Helvetica" w:hAnsi="Helvetica" w:cs="Helvetica"/>
          <w:color w:val="000000"/>
          <w:sz w:val="21"/>
          <w:szCs w:val="21"/>
        </w:rPr>
        <w:t> O SDP nada mais é que um documento de especificações e características dos serviços.</w:t>
      </w:r>
    </w:p>
    <w:p w:rsidR="000C3CEA" w:rsidRDefault="00F2511C" w:rsidP="000C3CE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t>Transição de serviços:</w:t>
      </w:r>
      <w:r>
        <w:rPr>
          <w:rFonts w:ascii="Helvetica" w:hAnsi="Helvetica" w:cs="Helvetica"/>
          <w:color w:val="000000"/>
          <w:sz w:val="21"/>
          <w:szCs w:val="21"/>
        </w:rPr>
        <w:t xml:space="preserve"> trata da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em produção. Tal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implementação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é testada e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acompanhada, bem como validada. O SKMS (service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knowledge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management system – sistema de gestão do conhecimento em serviços de TI) é atualizado com as infor</w:t>
      </w:r>
      <w:r w:rsidR="000C3CEA">
        <w:rPr>
          <w:rFonts w:ascii="Helvetica" w:hAnsi="Helvetica" w:cs="Helvetica"/>
          <w:color w:val="000000"/>
          <w:sz w:val="21"/>
          <w:szCs w:val="21"/>
        </w:rPr>
        <w:t>mações do ambiente de produção.</w:t>
      </w:r>
    </w:p>
    <w:p w:rsidR="000C3CEA" w:rsidRPr="000C3CEA" w:rsidRDefault="000C3CEA" w:rsidP="000C3C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Processos de todo</w:t>
      </w: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Ciclo de Vida</w:t>
      </w:r>
    </w:p>
    <w:p w:rsidR="000C3CEA" w:rsidRPr="000C3CEA" w:rsidRDefault="000C3CEA" w:rsidP="000C3CEA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Mudanças</w:t>
      </w:r>
    </w:p>
    <w:p w:rsidR="000C3CEA" w:rsidRPr="000C3CEA" w:rsidRDefault="000C3CEA" w:rsidP="000C3CEA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Configuração e Ativos</w:t>
      </w:r>
    </w:p>
    <w:p w:rsidR="000C3CEA" w:rsidRPr="000C3CEA" w:rsidRDefault="000C3CEA" w:rsidP="000C3CEA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do Conhecimento</w:t>
      </w:r>
    </w:p>
    <w:p w:rsidR="000C3CEA" w:rsidRPr="000C3CEA" w:rsidRDefault="000C3CEA" w:rsidP="000C3C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Somente </w:t>
      </w: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Service </w:t>
      </w:r>
      <w:proofErr w:type="spellStart"/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Transition</w:t>
      </w:r>
      <w:proofErr w:type="spellEnd"/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Planejamento e Suporte da Transição</w:t>
      </w:r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Gerenciamento de Liberação e Implantação</w:t>
      </w:r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Validação e Testes de Serviço</w:t>
      </w:r>
    </w:p>
    <w:p w:rsidR="000C3CEA" w:rsidRPr="000C3CEA" w:rsidRDefault="000C3CEA" w:rsidP="000C3CEA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C3CE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Avaliação</w:t>
      </w:r>
    </w:p>
    <w:p w:rsidR="000C3CEA" w:rsidRDefault="000C3CEA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E431A" w:rsidRPr="002E431A" w:rsidRDefault="00F2511C" w:rsidP="007E375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lastRenderedPageBreak/>
        <w:t>Operação de serviços:</w:t>
      </w:r>
      <w:r>
        <w:rPr>
          <w:rFonts w:ascii="Helvetica" w:hAnsi="Helvetica" w:cs="Helvetica"/>
          <w:color w:val="000000"/>
          <w:sz w:val="21"/>
          <w:szCs w:val="21"/>
        </w:rPr>
        <w:t> o serviço é mantido em operação e funcionamento de acordo com os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níveis de serviço (SLA – service level agreement, ou acordo de nível de serviço) estabelecidos para gerar os resultados esperados.</w:t>
      </w:r>
      <w:r w:rsidR="002E431A" w:rsidRPr="002E431A">
        <w:rPr>
          <w:rFonts w:ascii="Helvetica" w:hAnsi="Helvetica" w:cs="Helvetica"/>
          <w:color w:val="343A40"/>
          <w:sz w:val="21"/>
          <w:szCs w:val="21"/>
        </w:rPr>
        <w:t xml:space="preserve"> É muito importante saber diferenciar o </w:t>
      </w:r>
      <w:r w:rsidR="007F7B57" w:rsidRPr="002E431A">
        <w:rPr>
          <w:rFonts w:ascii="Helvetica" w:hAnsi="Helvetica" w:cs="Helvetica"/>
          <w:color w:val="343A40"/>
          <w:sz w:val="21"/>
          <w:szCs w:val="21"/>
        </w:rPr>
        <w:t>Gerenciamento</w:t>
      </w:r>
      <w:r w:rsidR="002E431A" w:rsidRPr="002E431A">
        <w:rPr>
          <w:rFonts w:ascii="Helvetica" w:hAnsi="Helvetica" w:cs="Helvetica"/>
          <w:color w:val="343A40"/>
          <w:sz w:val="21"/>
          <w:szCs w:val="21"/>
        </w:rPr>
        <w:t xml:space="preserve"> de Incidentes do Gerenciamento de Problemas. </w:t>
      </w:r>
    </w:p>
    <w:p w:rsidR="002E431A" w:rsidRPr="002E431A" w:rsidRDefault="002E431A" w:rsidP="007E37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</w:t>
      </w:r>
      <w:r w:rsidRPr="002E431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Incidentes</w:t>
      </w: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funciona como um apagador de incêndio, pois ele busca restaurar a operação do serviço o mais rápido possível, minimizando, assim, o impacto dos incidentes sobre as operações de negócio. </w:t>
      </w:r>
    </w:p>
    <w:p w:rsidR="002E431A" w:rsidRPr="002E431A" w:rsidRDefault="002E431A" w:rsidP="007E37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</w:t>
      </w:r>
      <w:r w:rsidRPr="002E431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Problemas</w:t>
      </w:r>
      <w:r w:rsidRPr="002E431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por sua vez, busca realizar a análise da causa raiz para determinar e resolver as causas dos incidentes. Ademais, ele cria a Base de Erros Conhecidos, que documenta as causas e soluções de contorno para permitir um rápido diagnóstico e resolução de incidentes. </w:t>
      </w:r>
    </w:p>
    <w:p w:rsidR="00F2511C" w:rsidRDefault="00F2511C" w:rsidP="00BF17B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BF17B6" w:rsidRPr="00BF17B6" w:rsidRDefault="00BF17B6" w:rsidP="00BF1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F17B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Cumprimento de requisição</w:t>
      </w:r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é um dos </w:t>
      </w:r>
      <w:proofErr w:type="gramStart"/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processos(gerenciamento de: Eventos, Incidentes, Problemas, Acesso; e Cumprimento de  requisição) do estágio </w:t>
      </w:r>
      <w:r w:rsidRPr="00BF17B6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Operação de Serviço</w:t>
      </w:r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trata de </w:t>
      </w:r>
      <w:r w:rsidRPr="00BF17B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solicitações não relacionadas a Incidentes</w:t>
      </w:r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sendo serviços pré-aprovados, com baixo ou nenhum impacto na operação de TI que podem ser realizados sem a necessidade de planejamento e aprovação do Gerenciamento de Mudanças, e não causam nenhum risco ao negócio da empresa.</w:t>
      </w:r>
    </w:p>
    <w:p w:rsidR="00BF17B6" w:rsidRDefault="00BF17B6" w:rsidP="00BF1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F17B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termo “Requisição de Serviço” é usado como uma descrição genérica para diversas formas de requisições solicitadas pelo usuário. Muitas delas são de baixo risco e praticadas com frequência, como troca de senhas ou instalação de um software.</w:t>
      </w:r>
    </w:p>
    <w:p w:rsidR="00BF17B6" w:rsidRPr="00BF17B6" w:rsidRDefault="00BF17B6" w:rsidP="00BF1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bookmarkStart w:id="0" w:name="_GoBack"/>
      <w:bookmarkEnd w:id="0"/>
    </w:p>
    <w:p w:rsidR="00F2511C" w:rsidRDefault="00F2511C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Forte"/>
          <w:rFonts w:ascii="Helvetica" w:hAnsi="Helvetica" w:cs="Helvetica"/>
          <w:color w:val="000000"/>
          <w:sz w:val="21"/>
          <w:szCs w:val="21"/>
        </w:rPr>
        <w:t>Melhoria de Serviço Continuada (Melhoria Contínua de Serviços): </w:t>
      </w:r>
      <w:r>
        <w:rPr>
          <w:rFonts w:ascii="Helvetica" w:hAnsi="Helvetica" w:cs="Helvetica"/>
          <w:color w:val="000000"/>
          <w:sz w:val="21"/>
          <w:szCs w:val="21"/>
        </w:rPr>
        <w:t>identifica</w:t>
      </w:r>
      <w:r w:rsidR="00A00A44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oportunidades de melhoria no serviço.</w:t>
      </w:r>
    </w:p>
    <w:p w:rsidR="00A00A44" w:rsidRDefault="00A00A44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cinco livros do ITIL v3 representam o ciclo de vida da gestão de serviços, esse ciclo de vida incorpora as funcionalidades dos três subsistemas de TI (Direcionamento, Desenvolvimento e Entrega).</w:t>
      </w:r>
    </w:p>
    <w:p w:rsidR="00BD2231" w:rsidRDefault="00BD2231" w:rsidP="00F2511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BD223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Portfolio</w:t>
      </w:r>
      <w:r w:rsidRPr="00BD2231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 xml:space="preserve"> de serviço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(Estratégia de Serviço da ITIL) O conjunto </w:t>
      </w:r>
      <w:r w:rsidRPr="00BD2231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completo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serviços que é gerenciado por um provedor de serviço. O portfolio de serviço é usado para gerenciar o ciclo de vida inteiro de </w:t>
      </w:r>
      <w:r w:rsidRPr="00BD2231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todos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os serviços de TI, incluindo três categorias: funil de serviço (proposto ou em desenvolvimento); catálogo de serviço (em produção ou disponível para implantação) e serviços obsoletos.</w:t>
      </w:r>
    </w:p>
    <w:p w:rsidR="00A00A44" w:rsidRDefault="00A00A44" w:rsidP="00A00A4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Gerenciamento de Evento é composto pelos seguintes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tipos de eventos</w:t>
      </w:r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A00A44" w:rsidRDefault="00A00A44" w:rsidP="00A00A4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Informativo</w:t>
      </w:r>
      <w:r w:rsidR="00705B4F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– 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Alerta</w:t>
      </w:r>
      <w:r w:rsidR="00705B4F"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xceção </w:t>
      </w:r>
      <w:r>
        <w:rPr>
          <w:rFonts w:ascii="Helvetica" w:hAnsi="Helvetica" w:cs="Helvetica"/>
          <w:color w:val="343A40"/>
          <w:sz w:val="21"/>
          <w:szCs w:val="21"/>
        </w:rPr>
        <w:t>- que gera </w:t>
      </w:r>
      <w:r>
        <w:rPr>
          <w:rFonts w:ascii="Helvetica" w:hAnsi="Helvetica" w:cs="Helvetica"/>
          <w:color w:val="FF0000"/>
          <w:sz w:val="21"/>
          <w:szCs w:val="21"/>
        </w:rPr>
        <w:t>incidentes</w:t>
      </w:r>
      <w:r>
        <w:rPr>
          <w:rFonts w:ascii="Helvetica" w:hAnsi="Helvetica" w:cs="Helvetica"/>
          <w:color w:val="343A40"/>
          <w:sz w:val="21"/>
          <w:szCs w:val="21"/>
        </w:rPr>
        <w:t>, </w:t>
      </w:r>
      <w:r>
        <w:rPr>
          <w:rFonts w:ascii="Helvetica" w:hAnsi="Helvetica" w:cs="Helvetica"/>
          <w:color w:val="FF0000"/>
          <w:sz w:val="21"/>
          <w:szCs w:val="21"/>
        </w:rPr>
        <w:t>problemas </w:t>
      </w:r>
      <w:r>
        <w:rPr>
          <w:rFonts w:ascii="Helvetica" w:hAnsi="Helvetica" w:cs="Helvetica"/>
          <w:color w:val="343A40"/>
          <w:sz w:val="21"/>
          <w:szCs w:val="21"/>
        </w:rPr>
        <w:t>e </w:t>
      </w:r>
      <w:r>
        <w:rPr>
          <w:rFonts w:ascii="Helvetica" w:hAnsi="Helvetica" w:cs="Helvetica"/>
          <w:color w:val="FF0000"/>
          <w:sz w:val="21"/>
          <w:szCs w:val="21"/>
        </w:rPr>
        <w:t>RFC </w:t>
      </w:r>
      <w:r>
        <w:rPr>
          <w:rFonts w:ascii="Helvetica" w:hAnsi="Helvetica" w:cs="Helvetica"/>
          <w:color w:val="343A40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For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Change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</w:t>
      </w:r>
      <w:r w:rsidR="007F7B57">
        <w:rPr>
          <w:rFonts w:ascii="Helvetica" w:hAnsi="Helvetica" w:cs="Helvetica"/>
          <w:color w:val="343A40"/>
          <w:sz w:val="21"/>
          <w:szCs w:val="21"/>
        </w:rPr>
        <w:t>.</w:t>
      </w:r>
    </w:p>
    <w:p w:rsidR="00705B4F" w:rsidRDefault="00705B4F" w:rsidP="00705B4F">
      <w:pPr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05B4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Para ITIL, evento é tudo que </w:t>
      </w:r>
      <w:r w:rsidR="00AC0E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é </w:t>
      </w:r>
      <w:r w:rsidRPr="00705B4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significativo para o serviço de TI. Seja uma informação, um incidente, problema ou mudança bem sucedida, etc.</w:t>
      </w:r>
    </w:p>
    <w:p w:rsidR="0052260A" w:rsidRDefault="0052260A" w:rsidP="0052260A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Funções </w:t>
      </w:r>
      <w:r>
        <w:rPr>
          <w:rFonts w:ascii="Helvetica" w:hAnsi="Helvetica" w:cs="Helvetica"/>
          <w:color w:val="343A40"/>
          <w:sz w:val="21"/>
          <w:szCs w:val="21"/>
        </w:rPr>
        <w:t>da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Operação de Serviços </w:t>
      </w:r>
      <w:r>
        <w:rPr>
          <w:rFonts w:ascii="Helvetica" w:hAnsi="Helvetica" w:cs="Helvetica"/>
          <w:color w:val="343A40"/>
          <w:sz w:val="21"/>
          <w:szCs w:val="21"/>
        </w:rPr>
        <w:t>de TI são: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1 - Central de Serviço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2 - Gerenciamento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Técnico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3 - Gerenciamento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Aplicação</w:t>
      </w:r>
    </w:p>
    <w:p w:rsidR="0052260A" w:rsidRDefault="0052260A" w:rsidP="00AC0ED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</w:rPr>
        <w:t>4 - Gerenciamento</w:t>
      </w:r>
      <w:proofErr w:type="gram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de Operação</w:t>
      </w:r>
    </w:p>
    <w:p w:rsidR="009637A7" w:rsidRDefault="009637A7" w:rsidP="0052260A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Gerenciamento de Capacidade contém os seguintes subprocessos: </w:t>
      </w:r>
    </w:p>
    <w:p w:rsidR="00422985" w:rsidRDefault="00422985" w:rsidP="00422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lastRenderedPageBreak/>
        <w:t>Gerenciamento de Capacidade de NEGÓCIO:</w:t>
      </w:r>
      <w:r>
        <w:rPr>
          <w:rFonts w:ascii="Helvetica" w:hAnsi="Helvetica" w:cs="Helvetica"/>
          <w:color w:val="343A40"/>
          <w:sz w:val="21"/>
          <w:szCs w:val="21"/>
        </w:rPr>
        <w:t> Possui foco estratégico no negócio, pois assegura que os requisitos futuros (</w:t>
      </w:r>
      <w:r w:rsidR="00AC0EDD">
        <w:rPr>
          <w:rFonts w:ascii="Helvetica" w:hAnsi="Helvetica" w:cs="Helvetica"/>
          <w:color w:val="343A40"/>
          <w:sz w:val="21"/>
          <w:szCs w:val="21"/>
        </w:rPr>
        <w:t>em longo prazo</w:t>
      </w:r>
      <w:r>
        <w:rPr>
          <w:rFonts w:ascii="Helvetica" w:hAnsi="Helvetica" w:cs="Helvetica"/>
          <w:color w:val="343A40"/>
          <w:sz w:val="21"/>
          <w:szCs w:val="21"/>
        </w:rPr>
        <w:t xml:space="preserve">) para os serviços de TI sejam incluídos quantificados, desenhados, planejados 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implementados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. </w:t>
      </w:r>
    </w:p>
    <w:p w:rsidR="00422985" w:rsidRDefault="00422985" w:rsidP="00422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Gerenciamento de Capacidade de Serviço:</w:t>
      </w:r>
      <w:r>
        <w:rPr>
          <w:rFonts w:ascii="Helvetica" w:hAnsi="Helvetica" w:cs="Helvetica"/>
          <w:color w:val="343A40"/>
          <w:sz w:val="21"/>
          <w:szCs w:val="21"/>
        </w:rPr>
        <w:t xml:space="preserve"> Possui foco na </w:t>
      </w:r>
      <w:r w:rsidR="00AC0EDD">
        <w:rPr>
          <w:rFonts w:ascii="Helvetica" w:hAnsi="Helvetica" w:cs="Helvetica"/>
          <w:color w:val="343A40"/>
          <w:sz w:val="21"/>
          <w:szCs w:val="21"/>
        </w:rPr>
        <w:t>gestão,</w:t>
      </w:r>
      <w:r>
        <w:rPr>
          <w:rFonts w:ascii="Helvetica" w:hAnsi="Helvetica" w:cs="Helvetica"/>
          <w:color w:val="343A40"/>
          <w:sz w:val="21"/>
          <w:szCs w:val="21"/>
        </w:rPr>
        <w:t xml:space="preserve"> no controle e na capacidade dos serviços de TI. Garante o alinhamento do desempenho dos </w:t>
      </w:r>
      <w:r w:rsidR="00AC0EDD">
        <w:rPr>
          <w:rFonts w:ascii="Helvetica" w:hAnsi="Helvetica" w:cs="Helvetica"/>
          <w:color w:val="343A40"/>
          <w:sz w:val="21"/>
          <w:szCs w:val="21"/>
        </w:rPr>
        <w:t>serviços</w:t>
      </w:r>
      <w:r w:rsidR="001E1CB4">
        <w:rPr>
          <w:rFonts w:ascii="Helvetica" w:hAnsi="Helvetica" w:cs="Helvetica"/>
          <w:color w:val="343A40"/>
          <w:sz w:val="21"/>
          <w:szCs w:val="21"/>
        </w:rPr>
        <w:t xml:space="preserve"> com os </w:t>
      </w:r>
      <w:proofErr w:type="spellStart"/>
      <w:r w:rsidR="001E1CB4">
        <w:rPr>
          <w:rFonts w:ascii="Helvetica" w:hAnsi="Helvetica" w:cs="Helvetica"/>
          <w:color w:val="343A40"/>
          <w:sz w:val="21"/>
          <w:szCs w:val="21"/>
        </w:rPr>
        <w:t>ANSs</w:t>
      </w:r>
      <w:proofErr w:type="spellEnd"/>
      <w:r w:rsidR="001E1CB4">
        <w:rPr>
          <w:rFonts w:ascii="Helvetica" w:hAnsi="Helvetica" w:cs="Helvetica"/>
          <w:color w:val="343A40"/>
          <w:sz w:val="21"/>
          <w:szCs w:val="21"/>
        </w:rPr>
        <w:t>.</w:t>
      </w:r>
    </w:p>
    <w:p w:rsidR="00422985" w:rsidRPr="00AC0EDD" w:rsidRDefault="00422985" w:rsidP="004229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Gerenciamento de Capacidade de Componente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Possui foco técnico, sendo responsável pelo gerenciamento individual  dos componentes dentro da </w:t>
      </w:r>
      <w:r w:rsidR="00AC0EDD">
        <w:rPr>
          <w:rFonts w:ascii="Helvetica" w:hAnsi="Helvetica" w:cs="Helvetica"/>
          <w:color w:val="343A40"/>
          <w:sz w:val="21"/>
          <w:szCs w:val="21"/>
        </w:rPr>
        <w:t>infraestrutura,</w:t>
      </w:r>
      <w:r>
        <w:rPr>
          <w:rFonts w:ascii="Helvetica" w:hAnsi="Helvetica" w:cs="Helvetica"/>
          <w:color w:val="343A40"/>
          <w:sz w:val="21"/>
          <w:szCs w:val="21"/>
        </w:rPr>
        <w:t xml:space="preserve"> assegurando o monitoramento e medição dos componentes e sua posterior análise.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suporte de atendimentos da ITIL V3 é dividido em três níveis de atendimento.</w:t>
      </w:r>
    </w:p>
    <w:p w:rsidR="00422985" w:rsidRDefault="00422985" w:rsidP="009F28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 primeiro </w:t>
      </w:r>
      <w:r w:rsidR="00AC0EDD">
        <w:rPr>
          <w:rFonts w:ascii="Helvetica" w:hAnsi="Helvetica" w:cs="Helvetica"/>
          <w:color w:val="343A40"/>
          <w:sz w:val="21"/>
          <w:szCs w:val="21"/>
        </w:rPr>
        <w:t>nível,</w:t>
      </w:r>
      <w:r>
        <w:rPr>
          <w:rFonts w:ascii="Helvetica" w:hAnsi="Helvetica" w:cs="Helvetica"/>
          <w:color w:val="343A40"/>
          <w:sz w:val="21"/>
          <w:szCs w:val="21"/>
        </w:rPr>
        <w:t xml:space="preserve"> STN-1</w:t>
      </w:r>
      <w:r w:rsidR="007F7B57">
        <w:rPr>
          <w:rFonts w:ascii="Helvetica" w:hAnsi="Helvetica" w:cs="Helvetica"/>
          <w:color w:val="343A40"/>
          <w:sz w:val="21"/>
          <w:szCs w:val="21"/>
        </w:rPr>
        <w:t>,</w:t>
      </w:r>
      <w:r>
        <w:rPr>
          <w:rFonts w:ascii="Helvetica" w:hAnsi="Helvetica" w:cs="Helvetica"/>
          <w:color w:val="343A40"/>
          <w:sz w:val="21"/>
          <w:szCs w:val="21"/>
        </w:rPr>
        <w:t xml:space="preserve"> temos aquele atendimento feito pelo service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desk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busca-se aqui solucionar o problema através de procedimentos básicos (o famoso, liga e desliga o modem), via atendimento po</w:t>
      </w:r>
      <w:r w:rsidR="00AC0EDD">
        <w:rPr>
          <w:rFonts w:ascii="Helvetica" w:hAnsi="Helvetica" w:cs="Helvetica"/>
          <w:color w:val="343A40"/>
          <w:sz w:val="21"/>
          <w:szCs w:val="21"/>
        </w:rPr>
        <w:t>r</w:t>
      </w:r>
      <w:r>
        <w:rPr>
          <w:rFonts w:ascii="Helvetica" w:hAnsi="Helvetica" w:cs="Helvetica"/>
          <w:color w:val="343A40"/>
          <w:sz w:val="21"/>
          <w:szCs w:val="21"/>
        </w:rPr>
        <w:t xml:space="preserve"> telefone ou remoto.</w:t>
      </w:r>
    </w:p>
    <w:p w:rsidR="00422985" w:rsidRDefault="00422985" w:rsidP="009F28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Já o STN-2 é utilizado quando o STN-1 não deu conta, neste caso agenda-se uma visita para a solução do problema in loco. É feito geralmente quando </w:t>
      </w:r>
      <w:r w:rsidR="001E1CB4">
        <w:rPr>
          <w:rFonts w:ascii="Helvetica" w:hAnsi="Helvetica" w:cs="Helvetica"/>
          <w:color w:val="343A40"/>
          <w:sz w:val="21"/>
          <w:szCs w:val="21"/>
        </w:rPr>
        <w:t>se necessita</w:t>
      </w:r>
      <w:r w:rsidR="00AC0EDD">
        <w:rPr>
          <w:rFonts w:ascii="Helvetica" w:hAnsi="Helvetica" w:cs="Helvetica"/>
          <w:color w:val="343A40"/>
          <w:sz w:val="21"/>
          <w:szCs w:val="21"/>
        </w:rPr>
        <w:t xml:space="preserve"> d</w:t>
      </w:r>
      <w:r>
        <w:rPr>
          <w:rFonts w:ascii="Helvetica" w:hAnsi="Helvetica" w:cs="Helvetica"/>
          <w:color w:val="343A40"/>
          <w:sz w:val="21"/>
          <w:szCs w:val="21"/>
        </w:rPr>
        <w:t>e</w:t>
      </w:r>
      <w:r w:rsidR="00AC0EDD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uma assistência física (instalar algo novo, desinstalar algo velho, ampliar uma rede, etc.)</w:t>
      </w:r>
      <w:r w:rsidR="001E1CB4">
        <w:rPr>
          <w:rFonts w:ascii="Helvetica" w:hAnsi="Helvetica" w:cs="Helvetica"/>
          <w:color w:val="343A40"/>
          <w:sz w:val="21"/>
          <w:szCs w:val="21"/>
        </w:rPr>
        <w:t>.</w:t>
      </w:r>
    </w:p>
    <w:p w:rsidR="00422985" w:rsidRDefault="00422985" w:rsidP="009F28B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STN-3, por sua vez é um nível composto por especialistas, o STN3 geralmente é acionado quando existe um problema de alta complexi</w:t>
      </w:r>
      <w:r w:rsidR="00AC0EDD">
        <w:rPr>
          <w:rFonts w:ascii="Helvetica" w:hAnsi="Helvetica" w:cs="Helvetica"/>
          <w:color w:val="343A40"/>
          <w:sz w:val="21"/>
          <w:szCs w:val="21"/>
        </w:rPr>
        <w:t>dade</w:t>
      </w:r>
      <w:r>
        <w:rPr>
          <w:rFonts w:ascii="Helvetica" w:hAnsi="Helvetica" w:cs="Helvetica"/>
          <w:color w:val="343A40"/>
          <w:sz w:val="21"/>
          <w:szCs w:val="21"/>
        </w:rPr>
        <w:t xml:space="preserve"> para ser solucionado. O SNT3 também deve apoiar o STN1 e STN2.</w:t>
      </w: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MACETE:</w:t>
      </w:r>
    </w:p>
    <w:p w:rsidR="00710BB7" w:rsidRDefault="00710BB7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STN 1- "Liga e desliga o modem"</w:t>
      </w: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STN 2 -"Visita"</w:t>
      </w: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STN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3</w:t>
      </w:r>
      <w:r>
        <w:rPr>
          <w:rFonts w:ascii="Helvetica" w:hAnsi="Helvetica" w:cs="Helvetica"/>
          <w:color w:val="343A40"/>
          <w:sz w:val="21"/>
          <w:szCs w:val="21"/>
        </w:rPr>
        <w:t> –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Especialista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710BB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 acordo com a ITIL, os incidentes devem ser: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Identificados;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Registrados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logging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Categorizados (de acordo com o seu impacto);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Priorizados;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422985">
        <w:rPr>
          <w:rFonts w:ascii="Helvetica" w:hAnsi="Helvetica" w:cs="Helvetica"/>
          <w:color w:val="343A40"/>
          <w:sz w:val="21"/>
          <w:szCs w:val="21"/>
        </w:rPr>
        <w:t>Escalados (subir o nível, equipe mais experiente, até que possa sanar o incidente), se for o caso;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Investigado e diagnosticado;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Sanado;</w:t>
      </w:r>
    </w:p>
    <w:p w:rsidR="00422985" w:rsidRDefault="00422985" w:rsidP="00AC0ED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Fechado;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Gerenciamento de nível de serviço.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processo responsável pela negociação de acordos de nível de serviço atingíveis e por garantir que todos eles sejam alcançados. É responsável por garantir que todos os processos do gerenciamento de serviço de TI, acordos de nível operacional e contratos de apoio, sejam adequados para as metas de nível de serviço acordadas. O gerenciamento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de nível de serviço monitora e reporta os níveis de serviço, mantém revisões de serviço regulares com os clientes e identifica melhorias requeridas.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Portfólio de Serviços contém: Funil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Serviços(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em desenvolvimento), Catálogo de Serviços(Pronto) e Serviços Obsoletos(Descontinuados).</w:t>
      </w:r>
    </w:p>
    <w:p w:rsidR="00422985" w:rsidRDefault="00422985" w:rsidP="0042298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Os acordos de nível de serviço são gerados da fase Desenho/Projeto de serviço:</w:t>
      </w:r>
    </w:p>
    <w:p w:rsidR="00422985" w:rsidRDefault="00422985" w:rsidP="001E1C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Acordo de nível de serviço (ANS)</w:t>
      </w:r>
      <w:r>
        <w:rPr>
          <w:rFonts w:ascii="Helvetica" w:hAnsi="Helvetica" w:cs="Helvetica"/>
          <w:color w:val="343A40"/>
          <w:sz w:val="21"/>
          <w:szCs w:val="21"/>
        </w:rPr>
        <w:t> ou SLA (Service Level Agreement):</w:t>
      </w:r>
      <w:r w:rsidR="00483745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é firmado entre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Provedor de Serviço de TI</w:t>
      </w:r>
      <w:r>
        <w:rPr>
          <w:rFonts w:ascii="Helvetica" w:hAnsi="Helvetica" w:cs="Helvetica"/>
          <w:color w:val="343A40"/>
          <w:sz w:val="21"/>
          <w:szCs w:val="21"/>
        </w:rPr>
        <w:t> 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Cliente</w:t>
      </w:r>
      <w:r>
        <w:rPr>
          <w:rFonts w:ascii="Helvetica" w:hAnsi="Helvetica" w:cs="Helvetica"/>
          <w:color w:val="343A40"/>
          <w:sz w:val="21"/>
          <w:szCs w:val="21"/>
        </w:rPr>
        <w:t xml:space="preserve"> a fim de especificar, para um determinado Serviço </w:t>
      </w:r>
      <w:r w:rsidR="00AC0EDD">
        <w:rPr>
          <w:rFonts w:ascii="Helvetica" w:hAnsi="Helvetica" w:cs="Helvetica"/>
          <w:color w:val="343A40"/>
          <w:sz w:val="21"/>
          <w:szCs w:val="21"/>
        </w:rPr>
        <w:t xml:space="preserve">de TI, as responsabilidades e </w:t>
      </w:r>
      <w:r>
        <w:rPr>
          <w:rFonts w:ascii="Helvetica" w:hAnsi="Helvetica" w:cs="Helvetica"/>
          <w:color w:val="343A40"/>
          <w:sz w:val="21"/>
          <w:szCs w:val="21"/>
        </w:rPr>
        <w:t>os compromissos assumidos por cada um. </w:t>
      </w:r>
    </w:p>
    <w:p w:rsidR="00422985" w:rsidRDefault="00422985" w:rsidP="001E1C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Acordo de Nível Operacional - ANO: </w:t>
      </w:r>
      <w:r>
        <w:rPr>
          <w:rFonts w:ascii="Helvetica" w:hAnsi="Helvetica" w:cs="Helvetica"/>
          <w:color w:val="343A40"/>
          <w:sz w:val="21"/>
          <w:szCs w:val="21"/>
        </w:rPr>
        <w:t>é um acordo entre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provedor de serviços de TI</w:t>
      </w:r>
      <w:r>
        <w:rPr>
          <w:rFonts w:ascii="Helvetica" w:hAnsi="Helvetica" w:cs="Helvetica"/>
          <w:color w:val="343A40"/>
          <w:sz w:val="21"/>
          <w:szCs w:val="21"/>
        </w:rPr>
        <w:t> e outra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parte da mesma organização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Ele dá apoio à entrega, pelo provedor de serviços de TI, de serviços de TI a clientes e define os produtos ou serviços a serem fornecidos e as responsabilidades de ambas as </w:t>
      </w:r>
      <w:r w:rsidR="001E1CB4">
        <w:rPr>
          <w:rFonts w:ascii="Helvetica" w:hAnsi="Helvetica" w:cs="Helvetica"/>
          <w:color w:val="343A40"/>
          <w:sz w:val="21"/>
          <w:szCs w:val="21"/>
        </w:rPr>
        <w:t>partes.</w:t>
      </w:r>
    </w:p>
    <w:p w:rsidR="00422985" w:rsidRDefault="00422985" w:rsidP="001E1CB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Contrato de Apoio - CA: </w:t>
      </w:r>
      <w:r>
        <w:rPr>
          <w:rFonts w:ascii="Helvetica" w:hAnsi="Helvetica" w:cs="Helvetica"/>
          <w:color w:val="343A40"/>
          <w:sz w:val="21"/>
          <w:szCs w:val="21"/>
        </w:rPr>
        <w:t>Contrato de apoio é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contrato</w:t>
      </w:r>
      <w:r>
        <w:rPr>
          <w:rFonts w:ascii="Helvetica" w:hAnsi="Helvetica" w:cs="Helvetica"/>
          <w:color w:val="343A40"/>
          <w:sz w:val="21"/>
          <w:szCs w:val="21"/>
        </w:rPr>
        <w:t> entre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provedor de serviços de TI </w:t>
      </w:r>
      <w:r>
        <w:rPr>
          <w:rFonts w:ascii="Helvetica" w:hAnsi="Helvetica" w:cs="Helvetica"/>
          <w:color w:val="343A40"/>
          <w:sz w:val="21"/>
          <w:szCs w:val="21"/>
        </w:rPr>
        <w:t>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terceiro</w:t>
      </w:r>
      <w:r>
        <w:rPr>
          <w:rFonts w:ascii="Helvetica" w:hAnsi="Helvetica" w:cs="Helvetica"/>
          <w:color w:val="343A40"/>
          <w:sz w:val="21"/>
          <w:szCs w:val="21"/>
        </w:rPr>
        <w:t xml:space="preserve">. O terceiro fornece produtos ou serviços de TI </w:t>
      </w:r>
      <w:r w:rsidR="00AC0EDD">
        <w:rPr>
          <w:rFonts w:ascii="Helvetica" w:hAnsi="Helvetica" w:cs="Helvetica"/>
          <w:color w:val="343A40"/>
          <w:sz w:val="21"/>
          <w:szCs w:val="21"/>
        </w:rPr>
        <w:t>a</w:t>
      </w:r>
      <w:r>
        <w:rPr>
          <w:rFonts w:ascii="Helvetica" w:hAnsi="Helvetica" w:cs="Helvetica"/>
          <w:color w:val="343A40"/>
          <w:sz w:val="21"/>
          <w:szCs w:val="21"/>
        </w:rPr>
        <w:t xml:space="preserve"> um cliente. O contrato de apoio define metas e responsabilidades que são requeridas para atender a metas de nível de serviço acordadas em um ou mais acordos de nível de serviço.</w:t>
      </w:r>
    </w:p>
    <w:p w:rsidR="008D08B9" w:rsidRP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D08B9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 xml:space="preserve">O gerenciamento de serviços de TI </w:t>
      </w: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consiste na </w:t>
      </w:r>
      <w:proofErr w:type="gramStart"/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no gerenciamento da qualidade dos serviços de TI de forma a atender às necessidades de negócio. O gerenciamento de serviço de TI é feito pelos </w:t>
      </w:r>
      <w:r w:rsidRPr="008D08B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provedores de serviço de TI</w:t>
      </w: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por meio da combinação adequada de pessoas, processos e tecnologia da informação. Memorize esse trio.</w:t>
      </w:r>
    </w:p>
    <w:p w:rsidR="008D08B9" w:rsidRP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importante notar que no gerenciamento de serviço a tecnologia não é o único elemento que compõe os serviços. Note que o serviço é uma combinação de pessoas, processos e TI. Assim, guarde que o </w:t>
      </w:r>
      <w:r w:rsidRPr="008D08B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serviços é mais do que gestão de tecnologia.</w:t>
      </w:r>
      <w:r w:rsidRPr="008D08B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Além disso, o foco é a implantação e gerenciamento da qualidade dos serviços para que estes atendam às necessidades do negócio.</w:t>
      </w:r>
    </w:p>
    <w:p w:rsid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8D08B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Gerenciamento de serviço d</w:t>
      </w:r>
      <w:r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e TI = TI + Pessoas + Processos.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Após receber o pedido do solicitador da mudança, o gestor deve aferir a </w:t>
      </w:r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prioridade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 mudança.</w:t>
      </w:r>
      <w:r w:rsid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seguida, notificará o 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Advisory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Board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conduzirá reuniões com ele regularmente para se garantir que todas as mudanças sejam devidamente tratadas.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Depois de aprovadas </w:t>
      </w:r>
      <w:proofErr w:type="gram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</w:t>
      </w:r>
      <w:proofErr w:type="gram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mudanças, o </w:t>
      </w:r>
      <w:proofErr w:type="spell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Advisory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Board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notifica o 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Builder</w:t>
      </w:r>
      <w:proofErr w:type="spellEnd"/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 providenciar as mudanças e enviá-las para teste.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Após os testes, o </w:t>
      </w:r>
      <w:proofErr w:type="spellStart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Change</w:t>
      </w:r>
      <w:proofErr w:type="spellEnd"/>
      <w:r w:rsidRPr="00BE3C63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Manager</w:t>
      </w: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autoriza sua implantação e informa a todos os que serão afetados por ela.</w:t>
      </w:r>
    </w:p>
    <w:p w:rsidR="00BE3C63" w:rsidRPr="00BE3C63" w:rsidRDefault="00BE3C63" w:rsidP="00BE3C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E3C6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 é apenas uma parte de todo o processo de Gerenciamento de Mudanças ITIL.</w:t>
      </w:r>
    </w:p>
    <w:p w:rsidR="008D08B9" w:rsidRDefault="008D08B9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E3C63" w:rsidRDefault="00BE3C63" w:rsidP="008D08B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Após a recepção do comunicado de incidente (identificação do incidente), os quatro próximos passos devem </w:t>
      </w:r>
      <w:r w:rsidR="00483745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ser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pela ordem: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Identificação: 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trabalho só começa quando o incidente é identificado.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Registro: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todos os incidentes precisam ser registrados em algum sistema. Deve-se armazenar data, hora e informações relevantes.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Classificação: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proofErr w:type="gramStart"/>
      <w:r w:rsid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</w:t>
      </w:r>
      <w:r w:rsidR="00483745"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-se</w:t>
      </w:r>
      <w:proofErr w:type="gramEnd"/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registrar todos os tipos de chamada. Esta classificação será útil para o Ger. De Problema identificar quais são os tipos de incidentes mais recorrentes.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Priorização: 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deve-se alocar um código de priorização determinado pelo impacto e pela urgência.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Diagnóstico: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executado inicialmente pela Central de Serviços, que tenta descobrir possíveis sintomas e o que não está funcionando adequadamente.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Escalação: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se o incidente não puder ser resolvido pela central de serviços, ele deverá ser escalado dentro do tempo hábil para outro nível de suporte com maior capacidade.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Investigação e diagnóstico: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determina a natureza da requisição. Quando o incidente é tratado, cada grupo de suporte investiga o que aconteceu de errado e faz um diagnóstico.</w:t>
      </w:r>
    </w:p>
    <w:p w:rsidR="00BE3C63" w:rsidRPr="00483745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Resolução e recuperação: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identifica uma solução, a mesma deve ser aplicada e testada.</w:t>
      </w:r>
    </w:p>
    <w:p w:rsidR="00870241" w:rsidRDefault="00BE3C63" w:rsidP="00483745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83745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Fechamento: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central de serviços deverá categorizar o motivo do incidente, documentar, pedir para que o usuário responda a pesquisa de satisfação e fazer o fechamento formal junto ao usuário.</w:t>
      </w:r>
    </w:p>
    <w:p w:rsidR="00483745" w:rsidRPr="00483745" w:rsidRDefault="00483745" w:rsidP="004837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70241" w:rsidRPr="00870241" w:rsidRDefault="00870241" w:rsidP="008702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Essa questão pede</w:t>
      </w:r>
      <w:r w:rsidRPr="0087024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 xml:space="preserve"> o conhecimento cru do conceito de portfólio de serviço. O portfólio de serviço é o grupo de serviços que fazem parte da organização, desde aqueles que estão em operação até aqueles que foram apenas cogitados;</w:t>
      </w:r>
    </w:p>
    <w:p w:rsidR="00870241" w:rsidRDefault="00870241" w:rsidP="008702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</w:pPr>
      <w:r w:rsidRPr="00870241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Obs.: </w:t>
      </w:r>
      <w:r w:rsidRPr="00870241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não confundir portfólio com catálogo</w:t>
      </w:r>
    </w:p>
    <w:p w:rsidR="00870241" w:rsidRDefault="00870241" w:rsidP="00870241">
      <w:pPr>
        <w:shd w:val="clear" w:color="auto" w:fill="FFFFFF"/>
        <w:spacing w:after="300" w:line="240" w:lineRule="auto"/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 diagnóstico inicial existem duas abordagens: a primeira, o analista de suporte vai tentar identificar se aquele erro ou problema já foi relatado, caso sim, a base de conhecimentos vai ter registrado uma solução; A segunda, o analista identificou que aquele é um problema novo e vai tentar </w:t>
      </w:r>
      <w:r w:rsidR="00E646A3"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identifica-lo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através de scripts e ferramentas já conhecidos pela organização.</w:t>
      </w:r>
    </w:p>
    <w:p w:rsid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</w:t>
      </w: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ono do serviço (service </w:t>
      </w:r>
      <w:proofErr w:type="spellStart"/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owner</w:t>
      </w:r>
      <w:proofErr w:type="spellEnd"/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).</w:t>
      </w:r>
    </w:p>
    <w:p w:rsid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responsabilidade de um </w:t>
      </w:r>
      <w:r w:rsidRPr="00483745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dono do serviço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gerenciar um serviço durante todo seu </w:t>
      </w:r>
      <w:r w:rsidRPr="00710BB7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ciclo de vida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exatamente como menciona o enunciado da questão: "</w:t>
      </w:r>
      <w:r w:rsidRPr="00710BB7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define o responsável pela iniciação, transição, manutenção e suporte de um serviço específico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P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Estratégia 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 SLP (Service Level Package - Pacote de Nível de Serviços)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P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Desenho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SDP (Service Design Package - Pacote Desenho de Serviço)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P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Transição de Serviços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SKMS (Service </w:t>
      </w:r>
      <w:proofErr w:type="spell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Knowledge</w:t>
      </w:r>
      <w:proofErr w:type="spell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 System - Sistema de Gestão de Conhecimento em Serviços)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Default="00710BB7" w:rsidP="00710B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10BB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Operação de Serviços</w:t>
      </w:r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- SLA (Service Level Agreement - </w:t>
      </w:r>
      <w:proofErr w:type="gramStart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Acordo</w:t>
      </w:r>
      <w:proofErr w:type="gramEnd"/>
      <w:r w:rsidRPr="00710BB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Nível de Serviço)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Estratégia de serviços</w:t>
      </w:r>
      <w:r w:rsidRPr="003E3749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: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identificação de requisitos e necessidades de negócio que sejam “atendíveis” por serviços de TI. Os requisitos e necessidades são acordados e documentados em um 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SLP 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(service level package ou pacote de nível de serviços).</w:t>
      </w: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Desenho de serviços: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 partir dos requisitos é concebida a solução de TI em forma de serviços, em todos os seus aspectos, que são documentados em um 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SDP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(service design package ou pacote de desenho de serviço). O SDP nada mais é que um documento de especificações e características dos serviços.</w:t>
      </w:r>
      <w:r w:rsidR="00190D4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="00190D4B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Pacote de Desenho do Serviço – PDS: Documento(s) definindo todos os aspectos de um serviço de TI e seus requisitos em cada fase do seu ciclo de vida. Um pacote de desenho de serviço é produzido para cada novo serviço de TI, mudança importante ou obsolescência de serviço de TI.</w:t>
      </w: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lastRenderedPageBreak/>
        <w:t>Transição de serviços:</w:t>
      </w:r>
      <w:r w:rsidRPr="003E3749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 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trata da </w:t>
      </w:r>
      <w:proofErr w:type="gram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em produção. Tal </w:t>
      </w:r>
      <w:proofErr w:type="gram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testada e acompanhada, bem como validada. O 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SKMS 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(service </w:t>
      </w:r>
      <w:proofErr w:type="spellStart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knowledge</w:t>
      </w:r>
      <w:proofErr w:type="spellEnd"/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management system – sistema de gestão do conhecimento em serviços de TI)</w:t>
      </w:r>
      <w:r w:rsidRPr="003E374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é atualizado com as informações do ambiente de produção.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3E3749" w:rsidRPr="003E3749" w:rsidRDefault="003E3749" w:rsidP="003E374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Operação de serviços: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serviço é mantido em operação e funcionamento de acordo com os níveis de serviço (SLA – service level agreement, ou acordo de nível de serviço) estabelecidos para gerar os resultados esperados.</w:t>
      </w:r>
    </w:p>
    <w:p w:rsidR="00710BB7" w:rsidRDefault="003E3749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E3749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Melhoria Contínua de Serviço</w:t>
      </w:r>
      <w:r w:rsidRPr="003E374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s: identifica oportunidades de melhoria no serviço.</w:t>
      </w:r>
    </w:p>
    <w:p w:rsidR="00B874E9" w:rsidRPr="00B874E9" w:rsidRDefault="00B874E9" w:rsidP="00B874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gerenciamento de serviços de TI consiste na </w:t>
      </w:r>
      <w:proofErr w:type="gramStart"/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implementação</w:t>
      </w:r>
      <w:proofErr w:type="gramEnd"/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no gerenciamento da qualidade dos serviços de TI de forma a atender às necessidades de negócio. O gerenciamento de serviço de TI é feito pelos </w:t>
      </w:r>
      <w:r w:rsidRPr="00B874E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provedores de serviço de TI</w:t>
      </w: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por meio da combinação adequada de </w:t>
      </w:r>
      <w:r w:rsidRPr="00483745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pessoas, processos e tecnologia da informação</w:t>
      </w: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Memorize esse trio.</w:t>
      </w:r>
    </w:p>
    <w:p w:rsidR="00B874E9" w:rsidRPr="00B874E9" w:rsidRDefault="00B874E9" w:rsidP="00B874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importante notar que no gerenciamento de serviço a tecnologia não é o único elemento que compõe os serviços. Note que o serviço é uma combinação de pessoas, processos e TI. Assim, guarde que o </w:t>
      </w:r>
      <w:r w:rsidRPr="00B874E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serviços é mais do que gestão de tecnologia.</w:t>
      </w:r>
      <w:r w:rsidRPr="00B874E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Além disso, o foco é a implantação e gerenciamento da qualidade dos serviços para que estes atendam às necessidades do negócio.</w:t>
      </w:r>
    </w:p>
    <w:p w:rsidR="00B874E9" w:rsidRDefault="00B874E9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B874E9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Gerenciamento de serviço de TI = TI + Pessoas + Processos </w:t>
      </w:r>
    </w:p>
    <w:p w:rsidR="00B874E9" w:rsidRDefault="00B874E9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B874E9" w:rsidRDefault="00B874E9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</w:p>
    <w:p w:rsidR="00624273" w:rsidRP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Processo gerenciamento da disponibilidade (Service Design)</w:t>
      </w:r>
    </w:p>
    <w:p w:rsid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Dica: o único tempo que é </w:t>
      </w:r>
      <w:proofErr w:type="spellStart"/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contra-intuitivo</w:t>
      </w:r>
      <w:proofErr w:type="spellEnd"/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é o tempo médio entre incidentes de serviço (TME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S), porque ele vai do </w:t>
      </w:r>
      <w:proofErr w:type="spellStart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ncidente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 próximo.</w:t>
      </w: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Os outros tempos dá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para saber por intuição: tempo médio entre falhas (TMEF) é o tempo médio entre o fim de uma falha e o começo de outra; tempo médio para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restaurar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 (TMRS) é o tempo médio para restaurar o serviço, ou seja, do momento em que falha até estar disponível novamente.</w:t>
      </w: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Item E está errado porque tempo médio entre falhas (TMEF) vai do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Fim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alha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da próxima, e não do </w:t>
      </w:r>
      <w:proofErr w:type="spell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uma falha até a próxima (o único que mede de início </w:t>
      </w: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início é o TME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S). O conceito do item faz referência ao tempo médio entre incidentes de serviço (TMEIS): do </w:t>
      </w:r>
      <w:proofErr w:type="spellStart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ncidente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 próximo.</w:t>
      </w:r>
    </w:p>
    <w:p w:rsid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24273" w:rsidRPr="00624273" w:rsidRDefault="00624273" w:rsidP="006242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Resumo: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entre falhas (TMEF): do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Fim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alha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da próxima.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entre incidentes de serviço (TMEIS): do </w:t>
      </w:r>
      <w:proofErr w:type="spellStart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Ínicio</w:t>
      </w:r>
      <w:proofErr w:type="spellEnd"/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 um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ncidente até o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início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do próximo.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para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restaurar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 (TMRS): do momento da falha até estar novamente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disponível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(conta o tempo para o sistema voltar ao ar)</w:t>
      </w:r>
    </w:p>
    <w:p w:rsidR="00624273" w:rsidRPr="00624273" w:rsidRDefault="00624273" w:rsidP="00624273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</w:t>
      </w:r>
      <w:proofErr w:type="gramEnd"/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médio para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reparo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(TMPR): do momento da falha até a </w:t>
      </w:r>
      <w:r w:rsidRPr="0062427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reparação </w:t>
      </w:r>
      <w:r w:rsidRPr="0062427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 serviço. (considera apenas o tempo para reparar o serviço. Não considera o tempo para o sistema voltar ao ar).</w:t>
      </w:r>
    </w:p>
    <w:p w:rsid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624273" w:rsidRDefault="00624273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9F28B1" w:rsidRPr="009F28B1" w:rsidRDefault="009F28B1" w:rsidP="009F28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9F28B1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Tipos de provedores de serviço</w:t>
      </w:r>
    </w:p>
    <w:p w:rsidR="009F28B1" w:rsidRPr="009F28B1" w:rsidRDefault="009F28B1" w:rsidP="009F28B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Tipo I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Proveem o serviço a um cliente do mesmo negócio, por departamentos. </w:t>
      </w: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Interno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dedicado</w:t>
      </w:r>
      <w:r w:rsidR="000C3A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9F28B1" w:rsidRPr="009F28B1" w:rsidRDefault="009F28B1" w:rsidP="009F28B1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Tipo II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Departamento único de TI para prover serviços a todos os setores da empresa. Compartilhado.</w:t>
      </w:r>
    </w:p>
    <w:p w:rsidR="00B71C40" w:rsidRDefault="009F28B1" w:rsidP="00B71C4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F28B1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Tipo III</w:t>
      </w:r>
      <w:r w:rsidRPr="009F28B1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Provedor de serviços externo.</w:t>
      </w:r>
    </w:p>
    <w:p w:rsid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5F786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Gerenciamento de mudanças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Após receber o pedido do solicitador da mudança, o gestor deve aferir a prioridade da mudança.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seguida, notificará o 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Change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Advisory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Board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conduzirá reuniões com ele regularmente para se garantir que todas as mudanças sejam devidamente tratadas.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Depois de aprovadas </w:t>
      </w:r>
      <w:proofErr w:type="gram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</w:t>
      </w:r>
      <w:proofErr w:type="gram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mudanças, o 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Change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Advisory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Board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notifica o 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Change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Builder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para providenciar as mudanças e enviá-las para teste.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Após os testes, o </w:t>
      </w:r>
      <w:proofErr w:type="spellStart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Change</w:t>
      </w:r>
      <w:proofErr w:type="spellEnd"/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Manager autoriza sua implantação e informa a todos os que serão afetados por ela.</w:t>
      </w:r>
    </w:p>
    <w:p w:rsid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F786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 é apenas uma parte de todo o processo de Gerenciamento de Mudanças ITIL.</w:t>
      </w:r>
    </w:p>
    <w:p w:rsidR="00FA47FC" w:rsidRDefault="00FA47FC" w:rsidP="00FA47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FA47FC" w:rsidRPr="00FA47FC" w:rsidRDefault="00FA47FC" w:rsidP="00FA47F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modelo </w:t>
      </w:r>
      <w:r w:rsidRPr="000C3ACD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RACI</w:t>
      </w:r>
      <w:r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ou "matriz de autoridade" é frequentemente </w:t>
      </w:r>
      <w:r w:rsidR="000C3ACD"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usado</w:t>
      </w:r>
      <w:r w:rsidRPr="00FA47F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nas organizações para definir papéis e responsabilidades em relação a processos e atividades. O modelo RACI provê um método compacto, conciso e fácil de rastrear quem faz o quê em cada processo e habilita o processo decisório ritmado e confiante.</w:t>
      </w:r>
    </w:p>
    <w:p w:rsidR="00FA47FC" w:rsidRPr="00FA47FC" w:rsidRDefault="00FA47FC" w:rsidP="00FA47F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FA47F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 observarmos bem, o item peca em dois aspectos: quando chama a matriz RACI de "Matriz Racionalidade" e quando afirma que ela é utilizada para atribuição de responsabilidades de gestão dos projetos, quando na verdade ela é utilizada na atribuição de responsabilidades em relação a processos e atividades.</w:t>
      </w:r>
    </w:p>
    <w:p w:rsidR="005F7860" w:rsidRPr="005F7860" w:rsidRDefault="005F7860" w:rsidP="005F78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71C40" w:rsidRPr="00B71C40" w:rsidRDefault="00B71C40" w:rsidP="00B71C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1F0526" w:rsidRPr="00454712" w:rsidRDefault="00B71C40" w:rsidP="00454712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color w:val="343A40"/>
          <w:sz w:val="28"/>
          <w:szCs w:val="21"/>
          <w:u w:val="single"/>
          <w:lang w:eastAsia="pt-BR"/>
        </w:rPr>
      </w:pPr>
      <w:proofErr w:type="gramStart"/>
      <w:r w:rsidRPr="00B71C40">
        <w:rPr>
          <w:rFonts w:ascii="Helvetica" w:eastAsia="Times New Roman" w:hAnsi="Helvetica" w:cs="Helvetica"/>
          <w:b/>
          <w:color w:val="343A40"/>
          <w:sz w:val="28"/>
          <w:szCs w:val="21"/>
          <w:u w:val="single"/>
          <w:lang w:eastAsia="pt-BR"/>
        </w:rPr>
        <w:t>ITILv4</w:t>
      </w:r>
      <w:proofErr w:type="gramEnd"/>
    </w:p>
    <w:p w:rsidR="00B71C40" w:rsidRDefault="00B71C40" w:rsidP="001F0526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Componentes do SVS (</w:t>
      </w:r>
      <w:r>
        <w:rPr>
          <w:rFonts w:ascii="Helvetica" w:hAnsi="Helvetica" w:cs="Helvetica"/>
          <w:i/>
          <w:iCs/>
          <w:color w:val="343A40"/>
          <w:sz w:val="21"/>
          <w:szCs w:val="21"/>
          <w:shd w:val="clear" w:color="auto" w:fill="FFFFFF"/>
        </w:rPr>
        <w:t>service value system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da ITIL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4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</w:p>
    <w:p w:rsidR="00B71C40" w:rsidRPr="00B71C40" w:rsidRDefault="000C3ACD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Princípios</w:t>
      </w:r>
      <w:r w:rsidR="00B71C40"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orientadores</w:t>
      </w:r>
    </w:p>
    <w:p w:rsidR="00B71C40" w:rsidRPr="00B71C40" w:rsidRDefault="00B71C40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Governança</w:t>
      </w:r>
    </w:p>
    <w:p w:rsidR="00B71C40" w:rsidRPr="00B71C40" w:rsidRDefault="00B71C40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Práticas</w:t>
      </w:r>
    </w:p>
    <w:p w:rsidR="00B71C40" w:rsidRDefault="000C3ACD" w:rsidP="001F0526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Melhoria</w:t>
      </w:r>
      <w:r w:rsidR="00B71C40" w:rsidRPr="00B71C4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contínua</w:t>
      </w:r>
    </w:p>
    <w:p w:rsidR="00454712" w:rsidRDefault="00454712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C3ACD" w:rsidRDefault="00454712" w:rsidP="000C3A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prática de Gerenciamento e Desenvolvimento de Software, do grupo de práticas de gerenciamento técnico, tem como objetivo garantir que os aplicativos atendam </w:t>
      </w:r>
      <w:r w:rsidR="000C3ACD"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às</w:t>
      </w: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necessidades das partes interessadas internas e externas, em termos de funcionalidade, confiabilidade, </w:t>
      </w:r>
      <w:r w:rsidR="000C3ACD"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manutenção</w:t>
      </w: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</w:t>
      </w:r>
      <w:r w:rsidR="000C3A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conformidade e </w:t>
      </w:r>
      <w:proofErr w:type="spellStart"/>
      <w:r w:rsidR="000C3A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auditabilidade.</w:t>
      </w:r>
      <w:proofErr w:type="spellEnd"/>
    </w:p>
    <w:p w:rsidR="00454712" w:rsidRPr="00454712" w:rsidRDefault="00454712" w:rsidP="000C3AC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Embora o ITIL v4 esteja totalmente alinhado com metodologias ágeis, a prática de desenvolvimento, segundo o ITIL, permite tanto a abordagem de desenvolvimento de software em cascata quanto a ágil. Não restringindo, portanto, a uma única abordagem ou metodologia, seja ela Scrum ou qualquer outra. </w:t>
      </w:r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 </w:t>
      </w:r>
      <w:proofErr w:type="spellStart"/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Itil</w:t>
      </w:r>
      <w:proofErr w:type="spellEnd"/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preconiza boas práticas e orientações gerais, não prescreve ou diz como você vai </w:t>
      </w:r>
      <w:proofErr w:type="gramStart"/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implementar</w:t>
      </w:r>
      <w:proofErr w:type="gramEnd"/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determinada prática. </w:t>
      </w:r>
    </w:p>
    <w:p w:rsidR="00454712" w:rsidRDefault="00454712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454712" w:rsidRPr="00454712" w:rsidRDefault="00454712" w:rsidP="00454712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45471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Diferentemente do ITIL v3, que não tinha um processo específico para gestão de risco, o ITIL v4 possui uma prática de Gerenciamento de Risco, que compõe as práticas de gerenciamento geral. </w:t>
      </w:r>
      <w:r w:rsidRPr="0045471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Gerenciamento de Risco: </w:t>
      </w:r>
      <w:r w:rsidRPr="001F052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Garantir que a organização entenda e lide efetivamente com os riscos. É parte integrante de todas as atividades organizacionais.</w:t>
      </w:r>
    </w:p>
    <w:p w:rsidR="00454712" w:rsidRDefault="00454712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737A9" w:rsidRDefault="005737A9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</w:pPr>
      <w:r w:rsidRPr="005737A9"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  <w:t>Dimensões do gerenciamento de serviço</w:t>
      </w:r>
    </w:p>
    <w:p w:rsidR="005737A9" w:rsidRPr="005737A9" w:rsidRDefault="005737A9" w:rsidP="0045471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3"/>
          <w:szCs w:val="21"/>
          <w:u w:val="single"/>
          <w:lang w:eastAsia="pt-BR"/>
        </w:rPr>
      </w:pP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Organizações e pessoas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Maneira pela qual uma organização realiza seu trabalho</w:t>
      </w:r>
      <w:proofErr w:type="gramStart"/>
      <w:r w:rsidR="000C3A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</w:t>
      </w:r>
      <w:r w:rsidR="000C3ACD"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cria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valores e atitudes. </w:t>
      </w:r>
      <w:r w:rsidR="000C3ACD"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Abrangem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funções e responsabilidades, estruturas organizacionais formais, cultura, equipe e competências necessárias, todas relacionadas à criação, entrega e melhoria de um serviço. </w:t>
      </w: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 xml:space="preserve">Informação e tecnologia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Representa informações criadas e gerenciadas pelas organizações. Ou seja, além de incluir as informações e conhecimentos necessários para o gerenciamento de serviços, também inclui as tecnologias que suportam e habilitam serviços. </w:t>
      </w: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Parceiros e fornecedores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Abrange os relacionamentos de uma organização com outras organizações. Incorpora contratos e outros acordos entre a organização e seus parceiros ou fornecedores. </w:t>
      </w:r>
    </w:p>
    <w:p w:rsidR="005737A9" w:rsidRPr="005737A9" w:rsidRDefault="005737A9" w:rsidP="005737A9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Fluxos e processos de valor -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Define as atividades, fluxos de trabalho, controles e procedimentos </w:t>
      </w:r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necessário para atingir os objetivos acordados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Em resumo, um fluxo de valor é uma combinação das atividades da cadeia de valor da organização.</w:t>
      </w:r>
      <w:r w:rsidR="000C3AC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Atenção: Muito cuidado para não confundir as </w:t>
      </w:r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dimensões com os componentes do SVS - Sistema de Valor do Serviço.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</w:t>
      </w:r>
      <w:proofErr w:type="gramStart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</w:t>
      </w:r>
      <w:proofErr w:type="gramEnd"/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componentes do SVS são: CA-GO-PRA-MELHORAR-PRISAO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-Ca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deia de valor de serviço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-Go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vernança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-Prá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ticas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-Melhor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ia contínua</w:t>
      </w:r>
    </w:p>
    <w:p w:rsidR="005737A9" w:rsidRPr="005737A9" w:rsidRDefault="005737A9" w:rsidP="005737A9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</w:t>
      </w:r>
      <w:r w:rsidRPr="005737A9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</w:t>
      </w: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ncípios orientadores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:rsidR="005737A9" w:rsidRPr="005737A9" w:rsidRDefault="005737A9" w:rsidP="005737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737A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Veja como é fácil confundir Cadeia de Valor de Serviço com Fluxos e processos de valor</w:t>
      </w:r>
    </w:p>
    <w:p w:rsidR="00B71C40" w:rsidRPr="00AD21E6" w:rsidRDefault="00B71C40" w:rsidP="00AD21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D21E6" w:rsidRPr="00710BB7" w:rsidRDefault="00AD21E6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710BB7" w:rsidRPr="00710BB7" w:rsidRDefault="00710BB7" w:rsidP="00710BB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70241" w:rsidRDefault="00870241" w:rsidP="00870241">
      <w:pPr>
        <w:shd w:val="clear" w:color="auto" w:fill="FFFFFF"/>
        <w:spacing w:after="300" w:line="240" w:lineRule="auto"/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5F7860" w:rsidRPr="00BE3C63" w:rsidRDefault="005F7860" w:rsidP="00BE3C63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sectPr w:rsidR="005F7860" w:rsidRPr="00BE3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0BF1"/>
    <w:multiLevelType w:val="hybridMultilevel"/>
    <w:tmpl w:val="AB74F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C5189"/>
    <w:multiLevelType w:val="hybridMultilevel"/>
    <w:tmpl w:val="8382B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D51C4"/>
    <w:multiLevelType w:val="hybridMultilevel"/>
    <w:tmpl w:val="04300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C7D5B"/>
    <w:multiLevelType w:val="hybridMultilevel"/>
    <w:tmpl w:val="D11EF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51E05"/>
    <w:multiLevelType w:val="hybridMultilevel"/>
    <w:tmpl w:val="B5784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9725E"/>
    <w:multiLevelType w:val="hybridMultilevel"/>
    <w:tmpl w:val="A8AE9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41625"/>
    <w:multiLevelType w:val="hybridMultilevel"/>
    <w:tmpl w:val="F7A07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C7370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AA400E"/>
    <w:multiLevelType w:val="hybridMultilevel"/>
    <w:tmpl w:val="50682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D35FA"/>
    <w:multiLevelType w:val="hybridMultilevel"/>
    <w:tmpl w:val="EE8AC2DC"/>
    <w:lvl w:ilvl="0" w:tplc="7B3C23E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F503A"/>
    <w:multiLevelType w:val="hybridMultilevel"/>
    <w:tmpl w:val="247ACDD6"/>
    <w:lvl w:ilvl="0" w:tplc="36246258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F72F8"/>
    <w:multiLevelType w:val="hybridMultilevel"/>
    <w:tmpl w:val="BE24ED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B7167A"/>
    <w:multiLevelType w:val="hybridMultilevel"/>
    <w:tmpl w:val="137CC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45E2F"/>
    <w:multiLevelType w:val="hybridMultilevel"/>
    <w:tmpl w:val="00F06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2B3136"/>
    <w:multiLevelType w:val="hybridMultilevel"/>
    <w:tmpl w:val="44C0D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25847"/>
    <w:multiLevelType w:val="hybridMultilevel"/>
    <w:tmpl w:val="1D6AC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A1FDC"/>
    <w:multiLevelType w:val="hybridMultilevel"/>
    <w:tmpl w:val="C5A6F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84CB7"/>
    <w:multiLevelType w:val="hybridMultilevel"/>
    <w:tmpl w:val="B07E8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ED3F0D"/>
    <w:multiLevelType w:val="hybridMultilevel"/>
    <w:tmpl w:val="4754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B5676"/>
    <w:multiLevelType w:val="hybridMultilevel"/>
    <w:tmpl w:val="51361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8F2A28"/>
    <w:multiLevelType w:val="hybridMultilevel"/>
    <w:tmpl w:val="13E0B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66409"/>
    <w:multiLevelType w:val="hybridMultilevel"/>
    <w:tmpl w:val="0D1C5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F7701"/>
    <w:multiLevelType w:val="hybridMultilevel"/>
    <w:tmpl w:val="534276DE"/>
    <w:lvl w:ilvl="0" w:tplc="7B3C23E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370977"/>
    <w:multiLevelType w:val="hybridMultilevel"/>
    <w:tmpl w:val="35B6D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2C2AD3"/>
    <w:multiLevelType w:val="hybridMultilevel"/>
    <w:tmpl w:val="5D1EA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EA7FDF"/>
    <w:multiLevelType w:val="hybridMultilevel"/>
    <w:tmpl w:val="A858C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22"/>
  </w:num>
  <w:num w:numId="8">
    <w:abstractNumId w:val="16"/>
  </w:num>
  <w:num w:numId="9">
    <w:abstractNumId w:val="17"/>
  </w:num>
  <w:num w:numId="10">
    <w:abstractNumId w:val="11"/>
  </w:num>
  <w:num w:numId="11">
    <w:abstractNumId w:val="13"/>
  </w:num>
  <w:num w:numId="12">
    <w:abstractNumId w:val="24"/>
  </w:num>
  <w:num w:numId="13">
    <w:abstractNumId w:val="4"/>
  </w:num>
  <w:num w:numId="14">
    <w:abstractNumId w:val="20"/>
  </w:num>
  <w:num w:numId="15">
    <w:abstractNumId w:val="5"/>
  </w:num>
  <w:num w:numId="16">
    <w:abstractNumId w:val="19"/>
  </w:num>
  <w:num w:numId="17">
    <w:abstractNumId w:val="8"/>
  </w:num>
  <w:num w:numId="18">
    <w:abstractNumId w:val="21"/>
  </w:num>
  <w:num w:numId="19">
    <w:abstractNumId w:val="10"/>
  </w:num>
  <w:num w:numId="20">
    <w:abstractNumId w:val="12"/>
  </w:num>
  <w:num w:numId="21">
    <w:abstractNumId w:val="7"/>
  </w:num>
  <w:num w:numId="22">
    <w:abstractNumId w:val="1"/>
  </w:num>
  <w:num w:numId="23">
    <w:abstractNumId w:val="14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1C"/>
    <w:rsid w:val="000C3ACD"/>
    <w:rsid w:val="000C3CEA"/>
    <w:rsid w:val="00190D4B"/>
    <w:rsid w:val="001E1CB4"/>
    <w:rsid w:val="001F0526"/>
    <w:rsid w:val="002E431A"/>
    <w:rsid w:val="002E7499"/>
    <w:rsid w:val="003E3749"/>
    <w:rsid w:val="00406750"/>
    <w:rsid w:val="00422985"/>
    <w:rsid w:val="00454712"/>
    <w:rsid w:val="00483745"/>
    <w:rsid w:val="0052260A"/>
    <w:rsid w:val="005737A9"/>
    <w:rsid w:val="00581CE1"/>
    <w:rsid w:val="005F7860"/>
    <w:rsid w:val="00624273"/>
    <w:rsid w:val="00705B4F"/>
    <w:rsid w:val="00710BB7"/>
    <w:rsid w:val="007E375C"/>
    <w:rsid w:val="007F7B57"/>
    <w:rsid w:val="00870241"/>
    <w:rsid w:val="008D08B9"/>
    <w:rsid w:val="009637A7"/>
    <w:rsid w:val="009F28B1"/>
    <w:rsid w:val="00A00A44"/>
    <w:rsid w:val="00AC0EDD"/>
    <w:rsid w:val="00AD21E6"/>
    <w:rsid w:val="00B71C40"/>
    <w:rsid w:val="00B874E9"/>
    <w:rsid w:val="00BC748E"/>
    <w:rsid w:val="00BD2231"/>
    <w:rsid w:val="00BE3C63"/>
    <w:rsid w:val="00BF17B6"/>
    <w:rsid w:val="00E15E15"/>
    <w:rsid w:val="00E538CE"/>
    <w:rsid w:val="00E646A3"/>
    <w:rsid w:val="00F2511C"/>
    <w:rsid w:val="00FA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511C"/>
    <w:rPr>
      <w:b/>
      <w:bCs/>
    </w:rPr>
  </w:style>
  <w:style w:type="character" w:styleId="nfase">
    <w:name w:val="Emphasis"/>
    <w:basedOn w:val="Fontepargpadro"/>
    <w:uiPriority w:val="20"/>
    <w:qFormat/>
    <w:rsid w:val="008D08B9"/>
    <w:rPr>
      <w:i/>
      <w:iCs/>
    </w:rPr>
  </w:style>
  <w:style w:type="paragraph" w:styleId="PargrafodaLista">
    <w:name w:val="List Paragraph"/>
    <w:basedOn w:val="Normal"/>
    <w:uiPriority w:val="34"/>
    <w:qFormat/>
    <w:rsid w:val="009F2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5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511C"/>
    <w:rPr>
      <w:b/>
      <w:bCs/>
    </w:rPr>
  </w:style>
  <w:style w:type="character" w:styleId="nfase">
    <w:name w:val="Emphasis"/>
    <w:basedOn w:val="Fontepargpadro"/>
    <w:uiPriority w:val="20"/>
    <w:qFormat/>
    <w:rsid w:val="008D08B9"/>
    <w:rPr>
      <w:i/>
      <w:iCs/>
    </w:rPr>
  </w:style>
  <w:style w:type="paragraph" w:styleId="PargrafodaLista">
    <w:name w:val="List Paragraph"/>
    <w:basedOn w:val="Normal"/>
    <w:uiPriority w:val="34"/>
    <w:qFormat/>
    <w:rsid w:val="009F2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2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4839</TotalTime>
  <Pages>8</Pages>
  <Words>3139</Words>
  <Characters>16951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29</cp:revision>
  <dcterms:created xsi:type="dcterms:W3CDTF">2019-08-23T17:08:00Z</dcterms:created>
  <dcterms:modified xsi:type="dcterms:W3CDTF">2021-03-06T13:49:00Z</dcterms:modified>
</cp:coreProperties>
</file>