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563E" w14:textId="3451FB05" w:rsid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Histórico e Evolução do COBIT</w:t>
      </w:r>
    </w:p>
    <w:p w14:paraId="51BFDF2D" w14:textId="77777777" w:rsid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4817C6B5" w14:textId="655A3F72" w:rsidR="00862C20" w:rsidRP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COBIT 1</w:t>
      </w:r>
    </w:p>
    <w:p w14:paraId="70433AA6" w14:textId="271BDDC5" w:rsidR="00862C20" w:rsidRDefault="00862C20" w:rsidP="0018611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Em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1996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surgiu a primeira versão com foco em Auditoria de TI.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Esta versão era baseada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em objetivos de controle.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 problema é que a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ntigamente cada uma das empresas </w:t>
      </w:r>
      <w:r w:rsid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de consultoria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tinha sua própria abordagem </w:t>
      </w:r>
      <w:r w:rsid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para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auditoria</w:t>
      </w:r>
      <w:r w:rsid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da TI.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Mesmo quando se contratavam terceiros especializados em auditoria</w:t>
      </w:r>
      <w:r w:rsid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</w:t>
      </w:r>
      <w:r w:rsidR="0018611F" w:rsidRP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Deloitte</w:t>
      </w:r>
      <w:r w:rsid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</w:t>
      </w:r>
      <w:r w:rsidR="0018611F" w:rsidRP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PricewaterhouseCoopers</w:t>
      </w:r>
      <w:r w:rsid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</w:t>
      </w:r>
      <w:r w:rsidR="0018611F" w:rsidRP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Ernst &amp; Young</w:t>
      </w:r>
      <w:r w:rsid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</w:t>
      </w:r>
      <w:r w:rsidR="0018611F" w:rsidRP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KPMG</w:t>
      </w:r>
      <w:r w:rsid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</w:t>
      </w:r>
      <w:r w:rsidR="0018611F" w:rsidRP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Grant Thornton</w:t>
      </w:r>
      <w:r w:rsid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</w:t>
      </w:r>
      <w:r w:rsidR="0018611F" w:rsidRP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Smith &amp; Williamson</w:t>
      </w:r>
      <w:r w:rsid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etc. etc</w:t>
      </w:r>
      <w:r w:rsidR="0018611F" w:rsidRP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  <w:r w:rsid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)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 cada um</w:t>
      </w:r>
      <w:r w:rsid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auditava a TI de uma forma diferente. Isso f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oi resolvido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com a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padroniza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ção trazida pelo COBIT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para comparar auditorias diferentes feitas por empresas diferentes.</w:t>
      </w:r>
    </w:p>
    <w:p w14:paraId="579DEAC0" w14:textId="77777777" w:rsidR="00862C20" w:rsidRP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135E82DA" w14:textId="1F2B90AF" w:rsid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COBIT 2</w:t>
      </w:r>
    </w:p>
    <w:p w14:paraId="5E2DE000" w14:textId="2FC1FEC1" w:rsid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Em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1998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o foco passou a ser</w:t>
      </w:r>
      <w:r w:rsid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mais abrangente, envolvendo também o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controle.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Ou seja, não bastava dizer “o qu</w:t>
      </w:r>
      <w:r w:rsid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ê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” fazer, mas</w:t>
      </w:r>
      <w:r w:rsid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 de algum modo, monitorar o andamento e verificar se estava ou não sendo feito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  <w:r w:rsid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Para exercer controle, a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lém dos objetivos de controle (o </w:t>
      </w:r>
      <w:r w:rsidR="00805CF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“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qu</w:t>
      </w:r>
      <w:r w:rsidR="00805CF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ê”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fazer), </w:t>
      </w:r>
      <w:r w:rsidR="0018611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esta versão do COBIT já possuía também um pouco sobre as práticas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(o </w:t>
      </w:r>
      <w:r w:rsidR="00805CF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“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como</w:t>
      </w:r>
      <w:r w:rsidR="00805CF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”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fazer). </w:t>
      </w:r>
      <w:r w:rsidR="00805CF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Mas a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inda </w:t>
      </w:r>
      <w:r w:rsidR="00805CF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com foco nos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profissionais de A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uditor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ia d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 TI.</w:t>
      </w:r>
    </w:p>
    <w:p w14:paraId="2FBE1A2D" w14:textId="2AFEF5F5" w:rsid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122E8808" w14:textId="51BE4F33" w:rsidR="00862C20" w:rsidRP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COBIT 3</w:t>
      </w:r>
    </w:p>
    <w:p w14:paraId="20F736D8" w14:textId="7998B0D1" w:rsidR="00862C20" w:rsidRP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Em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2000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o foco passou a se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r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mais o negócio.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Já se gastava muito com TI e as empresas estavam em busca de resultados.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Assim, a base passou a ser a Gestão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adequada dos recursos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Surgiram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nesta versão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os critérios de informação, os recursos de TI etc.</w:t>
      </w:r>
    </w:p>
    <w:p w14:paraId="127A0E88" w14:textId="77777777" w:rsid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71C2D5D6" w14:textId="6CE4141A" w:rsid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COBIT 4</w:t>
      </w:r>
    </w:p>
    <w:p w14:paraId="46FFC3F3" w14:textId="44B0EB49" w:rsid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Em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2005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(v.4) e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2007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(v.4.1) </w:t>
      </w:r>
      <w:r w:rsidR="006A4BF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não demorou para o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foco </w:t>
      </w:r>
      <w:r w:rsidR="006A4BF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sair da Gestão e passar para a G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overnança. </w:t>
      </w:r>
      <w:r w:rsidR="006A4BF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Nesta época já existiam o 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Val IT </w:t>
      </w:r>
      <w:r w:rsidR="006A4BF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(investimento em TI)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 o Risk IT</w:t>
      </w:r>
      <w:r w:rsidR="006A4BF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(riscos de TI)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</w:t>
      </w:r>
      <w:r w:rsidR="006A4BF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 o COBIT já buscava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integrar outros frameworks</w:t>
      </w:r>
      <w:r w:rsidR="006A4BF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(ITIL</w:t>
      </w:r>
      <w:r w:rsidR="006A4BF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 PMBOK, Normas ISO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etc.).</w:t>
      </w:r>
    </w:p>
    <w:p w14:paraId="523F369F" w14:textId="5E1F4934" w:rsidR="006A4BF8" w:rsidRDefault="006A4BF8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714828C1" w14:textId="3977A106" w:rsidR="006A4BF8" w:rsidRPr="00862C20" w:rsidRDefault="006A4BF8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COBIT 5</w:t>
      </w:r>
    </w:p>
    <w:p w14:paraId="649BCAB8" w14:textId="77777777" w:rsidR="006A4BF8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Em junho de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2012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surgiu a v.5 com foco em Governança Empresarial de TI (</w:t>
      </w:r>
      <w:r w:rsidR="006A4BF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 expressão só mudou um pouco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para dar um “ar mais abrangente”). O foco </w:t>
      </w:r>
      <w:r w:rsidR="006A4BF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ainda é Governança, claro (até porque não há nada mais depois disso). </w:t>
      </w:r>
    </w:p>
    <w:p w14:paraId="35D2A464" w14:textId="77777777" w:rsidR="006A4BF8" w:rsidRDefault="006A4BF8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5D0D260E" w14:textId="41C9E496" w:rsidR="00862C20" w:rsidRPr="00862C20" w:rsidRDefault="006A4BF8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 ideia então é que a Governança 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não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é uma função específica e 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interna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à TI, mas também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envolve todas a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 interfaces da TI com outras áreas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 funções organizacionais (logística, produção e serviços, marketing e vendas, RH, financeira, jurídica etc.)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05C37C1E" w14:textId="77777777" w:rsidR="006A4BF8" w:rsidRDefault="006A4BF8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5C79CCB0" w14:textId="464FB698" w:rsidR="00862C20" w:rsidRP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COBIT é um “guarda-chuva”. Ele é um framework integrador que traz todos os outros frameworks para dentro </w:t>
      </w:r>
      <w:r w:rsidR="006A4BF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de si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</w:t>
      </w:r>
      <w:r w:rsidR="006A4BF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Ele evoluiu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da </w:t>
      </w:r>
      <w:r w:rsidR="006A4BF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uditoria </w:t>
      </w:r>
      <w:r w:rsidR="006A4BF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 Controle de TI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para a </w:t>
      </w:r>
      <w:r w:rsidR="006A4BF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overnança </w:t>
      </w:r>
      <w:r w:rsidR="006A4BF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mpresarial</w:t>
      </w:r>
      <w:r w:rsidR="006A4BF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da TI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47AE6177" w14:textId="77777777" w:rsidR="00862C20" w:rsidRP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07DDF0CB" w14:textId="2BEEC85B" w:rsid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Gestão e Governança</w:t>
      </w:r>
    </w:p>
    <w:p w14:paraId="02891A43" w14:textId="77777777" w:rsidR="00637592" w:rsidRPr="00862C20" w:rsidRDefault="00637592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5AB40F36" w14:textId="77777777" w:rsidR="00412A6F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 diferença entre Gestão e Governança sempre existiu. </w:t>
      </w:r>
      <w:r w:rsidR="00412A6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</w:t>
      </w:r>
      <w:r w:rsidR="0063759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tualmente </w:t>
      </w:r>
      <w:r w:rsidR="00412A6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ela é </w:t>
      </w:r>
      <w:r w:rsidR="0063759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mais divulgada nos meios acadêmicos e profissionais.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 Governança define as </w:t>
      </w:r>
      <w:r w:rsidR="00412A6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diretrizes d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 organização</w:t>
      </w:r>
      <w:r w:rsidR="003974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  <w:r w:rsidR="00412A6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="0063759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As principais ações (“domínios”) </w:t>
      </w:r>
      <w:r w:rsidR="003974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da Governança </w:t>
      </w:r>
      <w:r w:rsidR="0063759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são: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avaliar, dirigir e monitorar</w:t>
      </w:r>
      <w:r w:rsidR="003974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(ADM)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  <w:r w:rsidR="0063759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</w:p>
    <w:p w14:paraId="686B5810" w14:textId="5D273286" w:rsidR="00862C20" w:rsidRPr="00862C20" w:rsidRDefault="00637592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lastRenderedPageBreak/>
        <w:t xml:space="preserve">A Gestão 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tem a ver com </w:t>
      </w:r>
      <w:r w:rsidR="00412A6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 operacionalização do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que foi decidido nos níveis superiores, ou seja, criar 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planos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gerenciar 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projetos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resolver os problemas do dia a dia etc. As principais ações (“domínios”) </w:t>
      </w:r>
      <w:r w:rsidR="00412A6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aqui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são: </w:t>
      </w:r>
      <w:r w:rsidR="003974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alinhar, 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planejar</w:t>
      </w:r>
      <w:r w:rsidR="003974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 organizar (APO); 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construir</w:t>
      </w:r>
      <w:r w:rsidR="003974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adquirir e implementar  (CAI); 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executar</w:t>
      </w:r>
      <w:r w:rsidR="003974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 servir e suportar (ESS);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 monitorar</w:t>
      </w:r>
      <w:r w:rsidR="003974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 avaliar e medir (MAM)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791E401E" w14:textId="77777777" w:rsidR="00862C20" w:rsidRP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188EA4BB" w14:textId="58833630" w:rsid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Família de produtos</w:t>
      </w:r>
    </w:p>
    <w:p w14:paraId="3CC2BC29" w14:textId="77777777" w:rsidR="00A57832" w:rsidRPr="00862C20" w:rsidRDefault="00A57832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756CCCBD" w14:textId="77777777" w:rsidR="00A57832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Quais foram as razões para fragmentar o COBIT? Agora, em vez de ter muita informação em um mesmo documento, houve uma </w:t>
      </w:r>
      <w:r w:rsidR="00A5783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re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organização</w:t>
      </w:r>
      <w:r w:rsidR="00A5783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</w:t>
      </w:r>
    </w:p>
    <w:p w14:paraId="516288B1" w14:textId="77777777" w:rsidR="00A57832" w:rsidRDefault="00A57832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335247B7" w14:textId="69F75AC8" w:rsidR="00862C20" w:rsidRPr="00862C20" w:rsidRDefault="00A57832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Esta reorganização permite:</w:t>
      </w:r>
    </w:p>
    <w:p w14:paraId="769610A4" w14:textId="415F3337" w:rsidR="00862C20" w:rsidRPr="00A57832" w:rsidRDefault="00862C20" w:rsidP="00A57832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5783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Atender </w:t>
      </w:r>
      <w:r w:rsidR="00A5783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 </w:t>
      </w:r>
      <w:r w:rsidRPr="00A5783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públicos-alvo distintos;</w:t>
      </w:r>
    </w:p>
    <w:p w14:paraId="7609699F" w14:textId="6C9B68D6" w:rsidR="00862C20" w:rsidRPr="00A57832" w:rsidRDefault="00862C20" w:rsidP="00A57832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5783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Facilitar a manutenção das publicações.</w:t>
      </w:r>
    </w:p>
    <w:p w14:paraId="6225F750" w14:textId="77777777" w:rsidR="00862C20" w:rsidRP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248B2198" w14:textId="77777777" w:rsidR="00A57832" w:rsidRDefault="00A57832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Hoje 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framework principal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do COBIT 5 (este que você pode baixar no site da ISACA) 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tem umas 90 páginas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A v.4.1 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tinha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para lá 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de 200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páginas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</w:t>
      </w:r>
    </w:p>
    <w:p w14:paraId="4610B32F" w14:textId="77777777" w:rsidR="00A57832" w:rsidRDefault="00A57832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658DB052" w14:textId="46EC3BD7" w:rsidR="00862C20" w:rsidRPr="00412A6F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Neste documento principal </w:t>
      </w:r>
      <w:r w:rsidR="00A5783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da v.5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temos os princípios, os habilitadores, uma introdução ao mapa de processos (sem detalha</w:t>
      </w:r>
      <w:r w:rsidR="00A5783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r muito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), um resumo do guia de implementação etc.  Ou seja</w:t>
      </w:r>
      <w:r w:rsidR="00A5783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o framework é um </w:t>
      </w:r>
      <w:r w:rsidR="00412A6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“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resumão</w:t>
      </w:r>
      <w:r w:rsidR="00412A6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”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do COBIT 5.</w:t>
      </w:r>
      <w:r w:rsidR="00A5783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 isso </w:t>
      </w:r>
      <w:r w:rsidR="00412A6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é suficiente para praticamente todas as provas (dificilmente serão cobrados documentos específicos, a não ser que explicitamente listado no edital)</w:t>
      </w:r>
      <w:r w:rsidR="00A5783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07B22816" w14:textId="77777777" w:rsidR="00862C20" w:rsidRP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05F11E76" w14:textId="514E4698" w:rsidR="004C3EBE" w:rsidRDefault="00412A6F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Além do documento principal (que é o framework propriamente dito), 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existem dois conjuntos de documentos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adicionais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: </w:t>
      </w:r>
      <w:r w:rsidR="00A5783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os 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“</w:t>
      </w:r>
      <w:r w:rsidR="00A57832" w:rsidRPr="00B80A41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e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nabl</w:t>
      </w:r>
      <w:r w:rsidR="004C3EBE" w:rsidRPr="00B80A41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er 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guides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” (guia dos habilitadores)</w:t>
      </w:r>
      <w:r w:rsidR="00A5783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 os “</w:t>
      </w:r>
      <w:r w:rsidR="00A57832" w:rsidRPr="00B80A41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professional guides</w:t>
      </w:r>
      <w:r w:rsidR="00A5783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” (gu</w:t>
      </w:r>
      <w:r w:rsidR="004C3EB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</w:t>
      </w:r>
      <w:r w:rsidR="00A5783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as para profissionais). </w:t>
      </w:r>
    </w:p>
    <w:p w14:paraId="0493E743" w14:textId="77777777" w:rsidR="004C3EBE" w:rsidRDefault="004C3EBE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74BE340B" w14:textId="3B7F8DAA" w:rsidR="004C3EBE" w:rsidRDefault="00A57832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primeiro conjunto </w:t>
      </w:r>
      <w:r w:rsidR="00412A6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(“enabler guides”)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contém 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documento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 </w:t>
      </w:r>
      <w:r w:rsidR="004C3EB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que tratam dos conteúdos principais do COBIT: os processos (“enabling processes”) e a informação (“enabling information”).</w:t>
      </w:r>
      <w:r w:rsidR="00412A6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Ao todo são 07 habilitadores, mas apenas estes dois (processos e infor</w:t>
      </w:r>
      <w:r w:rsidR="00AB369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mação</w:t>
      </w:r>
      <w:r w:rsidR="00412A6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) já possuem documentos específicos.</w:t>
      </w:r>
    </w:p>
    <w:p w14:paraId="5A11ED19" w14:textId="77777777" w:rsidR="00862C20" w:rsidRP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7CC1C7DF" w14:textId="0B9F84C3" w:rsidR="00862C20" w:rsidRPr="00862C20" w:rsidRDefault="004C3EBE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segundo conjunto </w:t>
      </w:r>
      <w:r w:rsidR="00AB369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(“professional guides”) 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contém o</w:t>
      </w:r>
      <w:r w:rsidR="00F678E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documentos </w:t>
      </w:r>
      <w:r w:rsidR="00B80A41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específicos para profissionais: 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implementação</w:t>
      </w:r>
      <w:r w:rsidR="00B80A41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(“implementation”)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 segurança</w:t>
      </w:r>
      <w:r w:rsidR="00B80A41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(“information security”)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 riscos</w:t>
      </w:r>
      <w:r w:rsidR="00B80A41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(“risk”)</w:t>
      </w:r>
      <w:r w:rsidR="00862C20"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 garantia</w:t>
      </w:r>
      <w:r w:rsidR="00B80A41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(“assurance”) etc.</w:t>
      </w:r>
    </w:p>
    <w:p w14:paraId="311DB684" w14:textId="77777777" w:rsidR="00862C20" w:rsidRP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5BEFAD35" w14:textId="31F72B44" w:rsidR="00862C20" w:rsidRP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 existe </w:t>
      </w:r>
      <w:r w:rsidR="00AB369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também na família de produtos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um ambiente de colaboração online</w:t>
      </w:r>
      <w:r w:rsidR="00B80A41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="00AB369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do COBIT (dentro do site da ISACA) </w:t>
      </w:r>
      <w:r w:rsidR="00B80A41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onde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você pode personalizar o que você quer enxergar </w:t>
      </w:r>
      <w:r w:rsidR="00FF6D3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em seu dashboard online </w:t>
      </w: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etc.</w:t>
      </w:r>
      <w:r w:rsidR="00FF6D3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É um produto adicional para oferecer “algo a mais” para o seu público de profissionais assinantes.</w:t>
      </w:r>
    </w:p>
    <w:p w14:paraId="14D4C07E" w14:textId="77777777" w:rsidR="00862C20" w:rsidRP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40E96D60" w14:textId="09A349D6" w:rsid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Princípios</w:t>
      </w:r>
    </w:p>
    <w:p w14:paraId="58544CC4" w14:textId="77777777" w:rsidR="00B80A41" w:rsidRPr="00862C20" w:rsidRDefault="00B80A41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5615E047" w14:textId="518AADAB" w:rsidR="00862C20" w:rsidRDefault="00862C20" w:rsidP="00862C2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62C2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Como o COBIT é um framework integrador, ele acaba “pegando emprestado” conteúdos de outras bases. No caso, os princípios foram fortemente baseados na ISO.</w:t>
      </w:r>
    </w:p>
    <w:p w14:paraId="50354CF7" w14:textId="77777777" w:rsidR="00182B5D" w:rsidRPr="00862C20" w:rsidRDefault="00182B5D" w:rsidP="00862C2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04657365" w14:textId="77777777" w:rsidR="00182B5D" w:rsidRPr="00182B5D" w:rsidRDefault="00862C20" w:rsidP="00182B5D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lastRenderedPageBreak/>
        <w:t>Atender as necessidades das partes interessadas.</w:t>
      </w:r>
      <w:r w:rsid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</w:p>
    <w:p w14:paraId="2049ECEB" w14:textId="3F89FCE4" w:rsidR="00862C20" w:rsidRDefault="00862C20" w:rsidP="00182B5D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No final das contas o que a </w:t>
      </w:r>
      <w:r w:rsidR="000745E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organização precisa </w:t>
      </w:r>
      <w:r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é atender </w:t>
      </w:r>
      <w:r w:rsidR="000745E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 todas as partes interessadas equilibrando demandas conflitantes entre </w:t>
      </w:r>
      <w:r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acionistas, clientes, funcionários</w:t>
      </w:r>
      <w:r w:rsidR="000745E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parceiros, fornecedores, sociedade </w:t>
      </w:r>
      <w:r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etc. </w:t>
      </w:r>
    </w:p>
    <w:p w14:paraId="2BB78F65" w14:textId="77777777" w:rsidR="000745E9" w:rsidRPr="00182B5D" w:rsidRDefault="000745E9" w:rsidP="00182B5D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ABF0099" w14:textId="76A93128" w:rsidR="00182B5D" w:rsidRPr="00182B5D" w:rsidRDefault="00862C20" w:rsidP="00182B5D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Cobrir a organização de ponta a ponta. </w:t>
      </w:r>
    </w:p>
    <w:p w14:paraId="4F12C724" w14:textId="6DA5EC16" w:rsidR="00862C20" w:rsidRDefault="00182B5D" w:rsidP="00182B5D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 G</w:t>
      </w:r>
      <w:r w:rsidR="00862C20"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overnança de TI não é exercida </w:t>
      </w:r>
      <w:r w:rsidR="000745E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somente </w:t>
      </w:r>
      <w:r w:rsidR="00862C20"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pel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 </w:t>
      </w:r>
      <w:r w:rsidR="00862C20"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TI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</w:t>
      </w:r>
      <w:r w:rsidR="00862C20"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mas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por toda a organização. Isso implica envolver as interfaces com </w:t>
      </w:r>
      <w:r w:rsidR="00862C20"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outras áreas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 em todos os níveis</w:t>
      </w:r>
      <w:r w:rsidR="00862C20"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  </w:t>
      </w:r>
    </w:p>
    <w:p w14:paraId="115F08DF" w14:textId="77777777" w:rsidR="000745E9" w:rsidRPr="00182B5D" w:rsidRDefault="000745E9" w:rsidP="00182B5D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68C5B59A" w14:textId="77777777" w:rsidR="00182B5D" w:rsidRPr="00182B5D" w:rsidRDefault="00862C20" w:rsidP="00182B5D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Aplicar um Framework integrado único.  </w:t>
      </w:r>
    </w:p>
    <w:p w14:paraId="1E6E8CC4" w14:textId="17667DC3" w:rsidR="00862C20" w:rsidRDefault="00862C20" w:rsidP="00182B5D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Existem vários padrões de mercado</w:t>
      </w:r>
      <w:r w:rsidR="000745E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(PMBOK, ITIL, ISO 38500 etc.)</w:t>
      </w:r>
      <w:r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 o COBIT busca integrar todos</w:t>
      </w:r>
      <w:r w:rsid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eles</w:t>
      </w:r>
      <w:r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ou seja, trazer todo </w:t>
      </w:r>
      <w:r w:rsidR="000745E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</w:t>
      </w:r>
      <w:r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conteúdo do mercado para dentro dele de forma direta ou indireta (o </w:t>
      </w:r>
      <w:r w:rsidR="000745E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grande </w:t>
      </w:r>
      <w:r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“guarda-chuva”).</w:t>
      </w:r>
    </w:p>
    <w:p w14:paraId="784F2375" w14:textId="77777777" w:rsidR="000745E9" w:rsidRPr="00182B5D" w:rsidRDefault="000745E9" w:rsidP="00182B5D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17440181" w14:textId="77777777" w:rsidR="00182B5D" w:rsidRPr="00182B5D" w:rsidRDefault="00862C20" w:rsidP="00182B5D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Possibilitar abordagem holística. </w:t>
      </w:r>
    </w:p>
    <w:p w14:paraId="7580B788" w14:textId="77777777" w:rsidR="000745E9" w:rsidRDefault="00862C20" w:rsidP="00182B5D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COBIT mostra que há outros elementos envolvidos no atendimento das partes interessadas. Por isso surgem os </w:t>
      </w:r>
      <w:r w:rsidR="000745E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07 </w:t>
      </w:r>
      <w:r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habilitadores </w:t>
      </w:r>
      <w:r w:rsidR="000745E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que vão “além” dos processos. </w:t>
      </w:r>
    </w:p>
    <w:p w14:paraId="3E228F6B" w14:textId="77777777" w:rsidR="000745E9" w:rsidRDefault="000745E9" w:rsidP="00182B5D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50E198E4" w14:textId="0132AFFE" w:rsidR="000745E9" w:rsidRDefault="000745E9" w:rsidP="00182B5D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Adiantando um pouco, os habilitadores são:</w:t>
      </w:r>
    </w:p>
    <w:p w14:paraId="10964A17" w14:textId="77777777" w:rsidR="005D37A5" w:rsidRDefault="005D37A5" w:rsidP="00182B5D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3A3B2C0F" w14:textId="0B161511" w:rsidR="000745E9" w:rsidRDefault="000745E9" w:rsidP="000745E9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princípios, políticas e frameworks; </w:t>
      </w:r>
    </w:p>
    <w:p w14:paraId="089C6398" w14:textId="77777777" w:rsidR="000745E9" w:rsidRDefault="000745E9" w:rsidP="000745E9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processos</w:t>
      </w:r>
      <w:r w:rsidRPr="000745E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;</w:t>
      </w:r>
    </w:p>
    <w:p w14:paraId="75DF4E67" w14:textId="77777777" w:rsidR="000745E9" w:rsidRDefault="000745E9" w:rsidP="000745E9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0745E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informação; </w:t>
      </w:r>
    </w:p>
    <w:p w14:paraId="6B855C37" w14:textId="77777777" w:rsidR="00D65CED" w:rsidRDefault="00D65CED" w:rsidP="00D65CED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0745E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estruturas organizacionais; </w:t>
      </w:r>
    </w:p>
    <w:p w14:paraId="46DD6218" w14:textId="416EC462" w:rsidR="000745E9" w:rsidRDefault="000745E9" w:rsidP="000745E9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0745E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cultura, ética e comportamento; </w:t>
      </w:r>
    </w:p>
    <w:p w14:paraId="121B0922" w14:textId="78DF3CD6" w:rsidR="00862C20" w:rsidRDefault="000745E9" w:rsidP="000745E9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0745E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serviços, infraestrutura e aplicações; </w:t>
      </w:r>
    </w:p>
    <w:p w14:paraId="272DD6C1" w14:textId="5E879B50" w:rsidR="000745E9" w:rsidRPr="000745E9" w:rsidRDefault="000745E9" w:rsidP="000745E9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pessoas, habilidades e competências.</w:t>
      </w:r>
    </w:p>
    <w:p w14:paraId="7F7BB1D4" w14:textId="77777777" w:rsidR="000745E9" w:rsidRPr="00182B5D" w:rsidRDefault="000745E9" w:rsidP="00182B5D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23A0D3B" w14:textId="2BAEF5BD" w:rsidR="00862C20" w:rsidRPr="003E47C5" w:rsidRDefault="00862C20" w:rsidP="00182B5D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Separar Governança de Gerenciamento</w:t>
      </w:r>
      <w:r w:rsidR="003E47C5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(Gestão)</w:t>
      </w:r>
      <w:r w:rsidRPr="00182B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72160B41" w14:textId="470B55FE" w:rsidR="003E47C5" w:rsidRDefault="003E47C5" w:rsidP="003E47C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18EEC652" w14:textId="414BB11E" w:rsidR="003E47C5" w:rsidRPr="003E47C5" w:rsidRDefault="003E47C5" w:rsidP="003E47C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Obs.: Gestão e Gerenciamento são termos sinônimos.</w:t>
      </w:r>
      <w:bookmarkStart w:id="0" w:name="_GoBack"/>
      <w:bookmarkEnd w:id="0"/>
    </w:p>
    <w:p w14:paraId="3103B73F" w14:textId="05BDF171" w:rsidR="00634D40" w:rsidRPr="00862C20" w:rsidRDefault="00634D40" w:rsidP="00862C20">
      <w:pPr>
        <w:rPr>
          <w:rFonts w:asciiTheme="majorHAnsi" w:hAnsiTheme="majorHAnsi" w:cstheme="majorHAnsi"/>
          <w:sz w:val="24"/>
          <w:szCs w:val="24"/>
        </w:rPr>
      </w:pPr>
    </w:p>
    <w:sectPr w:rsidR="00634D40" w:rsidRPr="00862C2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03195" w14:textId="77777777" w:rsidR="00CD10CE" w:rsidRDefault="00CD10CE" w:rsidP="008F3C3A">
      <w:pPr>
        <w:spacing w:after="0" w:line="240" w:lineRule="auto"/>
      </w:pPr>
      <w:r>
        <w:separator/>
      </w:r>
    </w:p>
  </w:endnote>
  <w:endnote w:type="continuationSeparator" w:id="0">
    <w:p w14:paraId="5A99A97F" w14:textId="77777777" w:rsidR="00CD10CE" w:rsidRDefault="00CD10CE" w:rsidP="008F3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60AEF" w14:textId="0E6B00B2" w:rsidR="008F3C3A" w:rsidRPr="008F3C3A" w:rsidRDefault="008F3C3A" w:rsidP="008F3C3A">
    <w:pPr>
      <w:pStyle w:val="Rodap"/>
      <w:jc w:val="center"/>
      <w:rPr>
        <w:sz w:val="20"/>
        <w:szCs w:val="20"/>
      </w:rPr>
    </w:pPr>
    <w:r>
      <w:rPr>
        <w:sz w:val="20"/>
        <w:szCs w:val="20"/>
      </w:rPr>
      <w:t>COBIT v5 – Curadoria 2019                                                                 Prof. Luis Claudio (lc@provasdeti.com.br)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6DB10" w14:textId="77777777" w:rsidR="00CD10CE" w:rsidRDefault="00CD10CE" w:rsidP="008F3C3A">
      <w:pPr>
        <w:spacing w:after="0" w:line="240" w:lineRule="auto"/>
      </w:pPr>
      <w:r>
        <w:separator/>
      </w:r>
    </w:p>
  </w:footnote>
  <w:footnote w:type="continuationSeparator" w:id="0">
    <w:p w14:paraId="00B60CB8" w14:textId="77777777" w:rsidR="00CD10CE" w:rsidRDefault="00CD10CE" w:rsidP="008F3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EBA70" w14:textId="151498ED" w:rsidR="008F3C3A" w:rsidRDefault="008F3C3A" w:rsidP="008F3C3A">
    <w:pPr>
      <w:pStyle w:val="Cabealho"/>
      <w:ind w:firstLine="354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849D68" wp14:editId="1E3466EA">
          <wp:simplePos x="0" y="0"/>
          <wp:positionH relativeFrom="margin">
            <wp:align>left</wp:align>
          </wp:positionH>
          <wp:positionV relativeFrom="paragraph">
            <wp:posOffset>-92710</wp:posOffset>
          </wp:positionV>
          <wp:extent cx="1224280" cy="278130"/>
          <wp:effectExtent l="0" t="0" r="0" b="7620"/>
          <wp:wrapTight wrapText="bothSides">
            <wp:wrapPolygon edited="0">
              <wp:start x="0" y="0"/>
              <wp:lineTo x="0" y="20712"/>
              <wp:lineTo x="21174" y="20712"/>
              <wp:lineTo x="21174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280" cy="278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www.</w:t>
    </w:r>
    <w:r>
      <w:rPr>
        <w:rFonts w:ascii="Arial Black" w:hAnsi="Arial Black"/>
        <w:color w:val="27921A"/>
      </w:rPr>
      <w:t>ProvasdeTI</w:t>
    </w:r>
    <w:r>
      <w:t>.com.br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B04"/>
    <w:multiLevelType w:val="hybridMultilevel"/>
    <w:tmpl w:val="376A391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26D3C"/>
    <w:multiLevelType w:val="hybridMultilevel"/>
    <w:tmpl w:val="DBBA128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26144"/>
    <w:multiLevelType w:val="hybridMultilevel"/>
    <w:tmpl w:val="6244390E"/>
    <w:lvl w:ilvl="0" w:tplc="83109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59"/>
    <w:rsid w:val="000437DA"/>
    <w:rsid w:val="000745E9"/>
    <w:rsid w:val="00182B5D"/>
    <w:rsid w:val="0018611F"/>
    <w:rsid w:val="001A338B"/>
    <w:rsid w:val="00397447"/>
    <w:rsid w:val="003E47C5"/>
    <w:rsid w:val="00412A6F"/>
    <w:rsid w:val="004C3EBE"/>
    <w:rsid w:val="005B43FA"/>
    <w:rsid w:val="005D37A5"/>
    <w:rsid w:val="00634D40"/>
    <w:rsid w:val="00637592"/>
    <w:rsid w:val="00676E09"/>
    <w:rsid w:val="006A4BF8"/>
    <w:rsid w:val="006A7AE4"/>
    <w:rsid w:val="00790559"/>
    <w:rsid w:val="00805CF0"/>
    <w:rsid w:val="00862C20"/>
    <w:rsid w:val="008F3C3A"/>
    <w:rsid w:val="00A57832"/>
    <w:rsid w:val="00AB3696"/>
    <w:rsid w:val="00B80A41"/>
    <w:rsid w:val="00CD10CE"/>
    <w:rsid w:val="00D65CED"/>
    <w:rsid w:val="00F678EB"/>
    <w:rsid w:val="00F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9952D8"/>
  <w15:chartTrackingRefBased/>
  <w15:docId w15:val="{8E6637F8-4AF8-4AEB-8D2C-7ADDDF2D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578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F3C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3C3A"/>
  </w:style>
  <w:style w:type="paragraph" w:styleId="Rodap">
    <w:name w:val="footer"/>
    <w:basedOn w:val="Normal"/>
    <w:link w:val="RodapChar"/>
    <w:uiPriority w:val="99"/>
    <w:unhideWhenUsed/>
    <w:rsid w:val="008F3C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3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949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 DOS SANTOS</dc:creator>
  <cp:keywords/>
  <dc:description/>
  <cp:lastModifiedBy>LUIS CLAUDIO DOS SANTOS</cp:lastModifiedBy>
  <cp:revision>23</cp:revision>
  <dcterms:created xsi:type="dcterms:W3CDTF">2019-06-20T21:22:00Z</dcterms:created>
  <dcterms:modified xsi:type="dcterms:W3CDTF">2019-06-23T13:54:00Z</dcterms:modified>
</cp:coreProperties>
</file>