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664E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Monitorar, Avaliar e Medir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4E48A1D7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3759756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Monitorar avaliar e medir o desempenho em conformidade (MEA01)</w:t>
      </w:r>
    </w:p>
    <w:p w14:paraId="613B9D1A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Monitorar avaliar e medir o sistema de controle interno (MEA02)</w:t>
      </w:r>
    </w:p>
    <w:p w14:paraId="4706C6A3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Monitorar avaliar e medir a conformidade com requisitos externos (MEA03)</w:t>
      </w:r>
    </w:p>
    <w:p w14:paraId="69FF2D09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D6F9998" w14:textId="20860A0D" w:rsidR="0031265D" w:rsidRPr="004D02AC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Vamos aos processos</w:t>
      </w:r>
    </w:p>
    <w:p w14:paraId="513C4B1F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D644891" w14:textId="3EDD47D4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Lembrar que este domínio “perpassa” todos os outros, ou seja, como está relacionad</w:t>
      </w:r>
      <w:r w:rsidRPr="004D02A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à melhoria contínua, é  algo inerente a todos os outros </w:t>
      </w:r>
      <w:r w:rsidRPr="004D02A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domínios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4B40AF54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B92FC64" w14:textId="5B526368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Monitorar avaliar e medir o desempenho e</w:t>
      </w:r>
      <w:r w:rsidRPr="004D02A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 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conformidade (MEA01)</w:t>
      </w:r>
    </w:p>
    <w:p w14:paraId="20E937C3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Todos os processos precisam ter indicadores. É nesse processo que esses indicadores são medidos.</w:t>
      </w:r>
    </w:p>
    <w:p w14:paraId="2E0CE67E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FF34185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Monitorar avaliar e medir o sistema de controle interno (MEA02)</w:t>
      </w:r>
    </w:p>
    <w:p w14:paraId="72256BAC" w14:textId="276E7B90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Esse processo tem a ver com a qualidade interna, ou seja,</w:t>
      </w:r>
      <w:r w:rsidRPr="004D02A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com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os parâmetros de qualidade definidos pela própria organização e que devem ser cumpridos por ela.  A avaliação destes sistemas internos deve gerar relatórios para a alta administração.</w:t>
      </w:r>
    </w:p>
    <w:p w14:paraId="20A095F4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BA57DD8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Monitorar avaliar e medir a conformidade com requisitos externos (MEA03)</w:t>
      </w:r>
    </w:p>
    <w:p w14:paraId="26D996E5" w14:textId="0A147955" w:rsidR="0031265D" w:rsidRPr="00407041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Esse processo já está relacionado com a avaliação dos sistemas de qualidade externos que porventura</w:t>
      </w:r>
      <w:r w:rsidRPr="004D02A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afetem a organização. Perceba que dependendo da sua área de atuação, </w:t>
      </w:r>
      <w:r w:rsidR="0040704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organização pode estar sujeita a normas de qualidade (ISO9001), diretrizes de mais alto nível (emanadas da matriz para suas filiais) etc.</w:t>
      </w:r>
    </w:p>
    <w:p w14:paraId="7D0602DA" w14:textId="77777777" w:rsidR="0031265D" w:rsidRPr="004D02AC" w:rsidRDefault="0031265D">
      <w:pPr>
        <w:rPr>
          <w:rFonts w:asciiTheme="majorHAnsi" w:hAnsiTheme="majorHAnsi" w:cstheme="majorHAnsi"/>
          <w:sz w:val="24"/>
          <w:szCs w:val="24"/>
        </w:rPr>
      </w:pPr>
    </w:p>
    <w:p w14:paraId="0A77FB26" w14:textId="705F5CCF" w:rsidR="0031265D" w:rsidRPr="004D02AC" w:rsidRDefault="0031265D">
      <w:pPr>
        <w:rPr>
          <w:rFonts w:asciiTheme="majorHAnsi" w:hAnsiTheme="majorHAnsi" w:cstheme="majorHAnsi"/>
          <w:sz w:val="24"/>
          <w:szCs w:val="24"/>
        </w:rPr>
      </w:pPr>
      <w:r w:rsidRPr="004D02AC">
        <w:rPr>
          <w:rFonts w:asciiTheme="majorHAnsi" w:hAnsiTheme="majorHAnsi" w:cstheme="majorHAnsi"/>
          <w:sz w:val="24"/>
          <w:szCs w:val="24"/>
        </w:rPr>
        <w:t xml:space="preserve">Assim terminamos de ver os processos. Foi só um resumo. Note que, se você precisar se aprofundar muito neste assunto, </w:t>
      </w:r>
      <w:r w:rsidR="00407041">
        <w:rPr>
          <w:rFonts w:asciiTheme="majorHAnsi" w:hAnsiTheme="majorHAnsi" w:cstheme="majorHAnsi"/>
          <w:sz w:val="24"/>
          <w:szCs w:val="24"/>
        </w:rPr>
        <w:t xml:space="preserve">na família </w:t>
      </w:r>
      <w:r w:rsidRPr="004D02AC">
        <w:rPr>
          <w:rFonts w:asciiTheme="majorHAnsi" w:hAnsiTheme="majorHAnsi" w:cstheme="majorHAnsi"/>
          <w:sz w:val="24"/>
          <w:szCs w:val="24"/>
        </w:rPr>
        <w:t xml:space="preserve">COBIT, você </w:t>
      </w:r>
      <w:r w:rsidR="00407041">
        <w:rPr>
          <w:rFonts w:asciiTheme="majorHAnsi" w:hAnsiTheme="majorHAnsi" w:cstheme="majorHAnsi"/>
          <w:sz w:val="24"/>
          <w:szCs w:val="24"/>
        </w:rPr>
        <w:t xml:space="preserve">só vai </w:t>
      </w:r>
      <w:r w:rsidRPr="004D02AC">
        <w:rPr>
          <w:rFonts w:asciiTheme="majorHAnsi" w:hAnsiTheme="majorHAnsi" w:cstheme="majorHAnsi"/>
          <w:sz w:val="24"/>
          <w:szCs w:val="24"/>
        </w:rPr>
        <w:t>encontra</w:t>
      </w:r>
      <w:r w:rsidR="00407041">
        <w:rPr>
          <w:rFonts w:asciiTheme="majorHAnsi" w:hAnsiTheme="majorHAnsi" w:cstheme="majorHAnsi"/>
          <w:sz w:val="24"/>
          <w:szCs w:val="24"/>
        </w:rPr>
        <w:t>r</w:t>
      </w:r>
      <w:r w:rsidRPr="004D02AC">
        <w:rPr>
          <w:rFonts w:asciiTheme="majorHAnsi" w:hAnsiTheme="majorHAnsi" w:cstheme="majorHAnsi"/>
          <w:sz w:val="24"/>
          <w:szCs w:val="24"/>
        </w:rPr>
        <w:t xml:space="preserve"> detalhes no documento “Enabling Processes” (pago). Ou, como </w:t>
      </w:r>
      <w:bookmarkStart w:id="0" w:name="_GoBack"/>
      <w:bookmarkEnd w:id="0"/>
      <w:r w:rsidRPr="004D02AC">
        <w:rPr>
          <w:rFonts w:asciiTheme="majorHAnsi" w:hAnsiTheme="majorHAnsi" w:cstheme="majorHAnsi"/>
          <w:sz w:val="24"/>
          <w:szCs w:val="24"/>
        </w:rPr>
        <w:t>os processos em sua maioria estão relacionados a outros frameworks, você pode ir direto a eles (ITIL, PMBOK etc.).</w:t>
      </w:r>
    </w:p>
    <w:p w14:paraId="35A889C2" w14:textId="77777777" w:rsidR="005E4AC6" w:rsidRDefault="005E4AC6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br w:type="page"/>
      </w:r>
    </w:p>
    <w:p w14:paraId="2E67876D" w14:textId="4ACBF4D9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 xml:space="preserve">Vamos estudar 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nesta parte da aula 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estrutura descritiva dos processos no COBIT.</w:t>
      </w:r>
    </w:p>
    <w:p w14:paraId="54C332DE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F83596B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Todos os processos são definidos em termos do seguinte:</w:t>
      </w:r>
    </w:p>
    <w:p w14:paraId="4D0A57DB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Descrição e propósito</w:t>
      </w:r>
    </w:p>
    <w:p w14:paraId="20D93B4F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Metas e métricas</w:t>
      </w:r>
    </w:p>
    <w:p w14:paraId="48C51BDE" w14:textId="7073A41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Práticas (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são os 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antigos objetivos de controle)</w:t>
      </w:r>
    </w:p>
    <w:p w14:paraId="4CCAE924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Matriz RACI</w:t>
      </w:r>
    </w:p>
    <w:p w14:paraId="1F5EED96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Entradas e saídas</w:t>
      </w:r>
    </w:p>
    <w:p w14:paraId="17CD4F5D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Guias relacionados</w:t>
      </w:r>
    </w:p>
    <w:p w14:paraId="3A6A5B48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D3CB159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Descrição e propósito</w:t>
      </w:r>
    </w:p>
    <w:p w14:paraId="3C6C7527" w14:textId="67A2D081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 o processo não cumpre o seu propósito, ele é considerado de capacidade zero. No COBIT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propósito é o fator mais importante para avaliar a sua capacidade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dos processos. Veremos o modelo de avaliação de capacidade na próxima aula.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27D7407F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7D20E20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Metas e métricas</w:t>
      </w:r>
    </w:p>
    <w:p w14:paraId="207487C4" w14:textId="4B895C61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 COBIT 5 não existe mais uma diferenciação 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lara KPI e KGI.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T</w:t>
      </w: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udo são métricas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31892F23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6E22FBF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Práticas</w:t>
      </w:r>
    </w:p>
    <w:p w14:paraId="5E4EB104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Os objetivos de controle foram transformados em práticas de governança e gestão.  Essas práticas mostram como o processo pode ser executado.</w:t>
      </w:r>
    </w:p>
    <w:p w14:paraId="0BE9BF66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1605079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Matriz RACI</w:t>
      </w:r>
    </w:p>
    <w:p w14:paraId="06FBF014" w14:textId="6FA9D585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 matrizes RACI de cada processo agora são muito mais detalhadas. Elas definem papéis, por exemplo, que não têm nada a ver com a área de TI. Lembre-se de que o COBIT trata de todas as funções organizacionais (“Cobrir  a Organização de ponta a ponta”). Você vai achar papéis como CEO, CIO, escritório de projeto etc.</w:t>
      </w:r>
    </w:p>
    <w:p w14:paraId="0A35D2A3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DDE6080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Entradas e saídas</w:t>
      </w:r>
    </w:p>
    <w:p w14:paraId="6728EB8F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mais relevante aqui é que no COBIT as entradas e saídas são mostradas no nível das práticas e não no nível dos processos como estamos acostumados.</w:t>
      </w:r>
    </w:p>
    <w:p w14:paraId="27E1BDB8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A37FD7C" w14:textId="77777777" w:rsidR="0031265D" w:rsidRPr="0031265D" w:rsidRDefault="0031265D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Guias relacionados</w:t>
      </w:r>
    </w:p>
    <w:p w14:paraId="71043604" w14:textId="668972F9" w:rsidR="0031265D" w:rsidRPr="0031265D" w:rsidRDefault="00A70BB0" w:rsidP="0031265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Aqui </w:t>
      </w:r>
      <w:r w:rsidR="0031265D"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</w:t>
      </w:r>
      <w:r w:rsidR="004D02AC"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COBIT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nos auxilia indicando </w:t>
      </w:r>
      <w:r w:rsidR="0031265D"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onde você pode encontrar informações mais detalhadas sobre os processos em outros 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frameworks</w:t>
      </w:r>
      <w:r w:rsidR="0031265D" w:rsidRPr="0031265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relacionados</w:t>
      </w:r>
      <w:r w:rsidR="005E4A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(ITIL, PMBOK etc.)</w:t>
      </w:r>
    </w:p>
    <w:p w14:paraId="22E55996" w14:textId="53AA8B0F" w:rsidR="0031265D" w:rsidRPr="004D02AC" w:rsidRDefault="0031265D">
      <w:pPr>
        <w:rPr>
          <w:rFonts w:asciiTheme="majorHAnsi" w:hAnsiTheme="majorHAnsi" w:cstheme="majorHAnsi"/>
          <w:sz w:val="24"/>
          <w:szCs w:val="24"/>
        </w:rPr>
      </w:pPr>
    </w:p>
    <w:p w14:paraId="50A5A7CC" w14:textId="77777777" w:rsidR="0031265D" w:rsidRPr="004D02AC" w:rsidRDefault="0031265D">
      <w:pPr>
        <w:rPr>
          <w:rFonts w:asciiTheme="majorHAnsi" w:hAnsiTheme="majorHAnsi" w:cstheme="majorHAnsi"/>
          <w:sz w:val="24"/>
          <w:szCs w:val="24"/>
        </w:rPr>
      </w:pPr>
    </w:p>
    <w:sectPr w:rsidR="0031265D" w:rsidRPr="004D02A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1DC62" w14:textId="77777777" w:rsidR="00B57125" w:rsidRDefault="00B57125" w:rsidP="00586079">
      <w:pPr>
        <w:spacing w:after="0" w:line="240" w:lineRule="auto"/>
      </w:pPr>
      <w:r>
        <w:separator/>
      </w:r>
    </w:p>
  </w:endnote>
  <w:endnote w:type="continuationSeparator" w:id="0">
    <w:p w14:paraId="68B5FB41" w14:textId="77777777" w:rsidR="00B57125" w:rsidRDefault="00B57125" w:rsidP="0058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E3085" w14:textId="7F333C37" w:rsidR="00586079" w:rsidRPr="00586079" w:rsidRDefault="00586079" w:rsidP="00586079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>Prof. Luis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283D7" w14:textId="77777777" w:rsidR="00B57125" w:rsidRDefault="00B57125" w:rsidP="00586079">
      <w:pPr>
        <w:spacing w:after="0" w:line="240" w:lineRule="auto"/>
      </w:pPr>
      <w:r>
        <w:separator/>
      </w:r>
    </w:p>
  </w:footnote>
  <w:footnote w:type="continuationSeparator" w:id="0">
    <w:p w14:paraId="018F9B01" w14:textId="77777777" w:rsidR="00B57125" w:rsidRDefault="00B57125" w:rsidP="0058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39A56" w14:textId="3BF8D4DA" w:rsidR="00586079" w:rsidRDefault="00586079" w:rsidP="00586079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11FDF95B" wp14:editId="5753E5FC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20"/>
    <w:rsid w:val="0031265D"/>
    <w:rsid w:val="00407041"/>
    <w:rsid w:val="004D02AC"/>
    <w:rsid w:val="00586079"/>
    <w:rsid w:val="005E4AC6"/>
    <w:rsid w:val="00A70BB0"/>
    <w:rsid w:val="00B57125"/>
    <w:rsid w:val="00C915C5"/>
    <w:rsid w:val="00D2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975A"/>
  <w15:chartTrackingRefBased/>
  <w15:docId w15:val="{FFF15BE7-228D-4BAD-BB80-51704C53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86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6079"/>
  </w:style>
  <w:style w:type="paragraph" w:styleId="Rodap">
    <w:name w:val="footer"/>
    <w:basedOn w:val="Normal"/>
    <w:link w:val="RodapChar"/>
    <w:uiPriority w:val="99"/>
    <w:unhideWhenUsed/>
    <w:rsid w:val="00586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7</cp:revision>
  <dcterms:created xsi:type="dcterms:W3CDTF">2019-06-21T10:45:00Z</dcterms:created>
  <dcterms:modified xsi:type="dcterms:W3CDTF">2019-06-23T15:19:00Z</dcterms:modified>
</cp:coreProperties>
</file>