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6AD" w:rsidRPr="00F056AD" w:rsidRDefault="00F056AD" w:rsidP="00F056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color w:val="343A40"/>
          <w:szCs w:val="21"/>
          <w:u w:val="single"/>
          <w:lang w:val="en-US"/>
        </w:rPr>
      </w:pPr>
      <w:r w:rsidRPr="00F056AD">
        <w:rPr>
          <w:rFonts w:ascii="Helvetica" w:hAnsi="Helvetica" w:cs="Helvetica"/>
          <w:b/>
          <w:color w:val="343A40"/>
          <w:szCs w:val="21"/>
          <w:u w:val="single"/>
          <w:lang w:val="en-US"/>
        </w:rPr>
        <w:t>LDAP</w:t>
      </w:r>
    </w:p>
    <w:p w:rsidR="00F056AD" w:rsidRDefault="00F056AD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</w:p>
    <w:p w:rsidR="00D76788" w:rsidRPr="00D76788" w:rsidRDefault="00D76788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D76788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LDAP</w:t>
      </w:r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</w:t>
      </w:r>
      <w:proofErr w:type="spellStart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>significa</w:t>
      </w:r>
      <w:proofErr w:type="spellEnd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Lightweight Directory Access Protocol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protocolo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leve para acessar serviços de diretório.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roda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em cima do protocolo TCP/IP .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arquitetura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cliente/servidor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foi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inicialmente usado como uma interface para o X.500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Organiza as entradas em árvores hierárquicas;</w:t>
      </w:r>
    </w:p>
    <w:p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camada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 aplicação</w:t>
      </w:r>
    </w:p>
    <w:p w:rsidR="00A77983" w:rsidRDefault="00A77983" w:rsidP="00A779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proofErr w:type="gram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 </w:t>
      </w:r>
      <w:hyperlink r:id="rId6" w:history="1">
        <w:r w:rsidRPr="00A77983">
          <w:rPr>
            <w:rFonts w:ascii="Helvetica" w:eastAsia="Times New Roman" w:hAnsi="Helvetica" w:cs="Helvetica"/>
            <w:i/>
            <w:iCs/>
            <w:color w:val="EE8523"/>
            <w:sz w:val="21"/>
            <w:szCs w:val="21"/>
            <w:lang w:eastAsia="pt-BR"/>
          </w:rPr>
          <w:t>software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hyperlink r:id="rId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livre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hyperlink r:id="rId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código aberto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implementa o protocolo </w:t>
      </w:r>
      <w:hyperlink r:id="rId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LDAP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é um </w:t>
      </w:r>
      <w:hyperlink r:id="rId1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serviço de diretório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baseado no padrão </w:t>
      </w:r>
      <w:hyperlink r:id="rId11" w:history="1">
        <w:proofErr w:type="gramStart"/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X.</w:t>
        </w:r>
        <w:proofErr w:type="gramEnd"/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500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independente de </w:t>
      </w:r>
      <w:hyperlink r:id="rId1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sistema operativo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Várias distribuições </w:t>
      </w:r>
      <w:hyperlink r:id="rId1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Linux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incluem o pacote do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O software também corre nos sistemas operativos </w:t>
      </w:r>
      <w:hyperlink r:id="rId14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BSD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5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AIX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6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HP-UX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Mac OS 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Solaris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Microsoft Windows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(2000, XP, 2003, 2008, Vista, win7 e </w:t>
      </w:r>
      <w:proofErr w:type="spell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win</w:t>
      </w:r>
      <w:proofErr w:type="spell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 </w:t>
      </w:r>
      <w:hyperlink r:id="rId2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z/OS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 xml:space="preserve">O </w:t>
      </w: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OpenLDAP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foi desenvolvido inicialmente pela Universidade de Michigan com as seguintes características principais: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suporte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 </w:t>
      </w:r>
      <w:hyperlink r:id="rId21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IPv4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IPv6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autenticação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Cryrus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Sasl-Kerberos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V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GSSAPI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Digest-MD5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segurança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 transporte – </w:t>
      </w:r>
      <w:hyperlink r:id="rId2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SSL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4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TLS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acessos;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entre banco de dados;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capacidade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atender a múltiplos bancos de dados simultaneamente;</w:t>
      </w:r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alta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performance em múltiplas chamadas;</w:t>
      </w:r>
      <w:bookmarkStart w:id="0" w:name="_GoBack"/>
      <w:bookmarkEnd w:id="0"/>
    </w:p>
    <w:p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replicação</w:t>
      </w:r>
      <w:proofErr w:type="gram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base;</w:t>
      </w:r>
    </w:p>
    <w:p w:rsidR="00A77983" w:rsidRDefault="00A77983" w:rsidP="00A779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Um diretório LDAP geralmente segue o modelo </w:t>
      </w:r>
      <w:proofErr w:type="gram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X.</w:t>
      </w:r>
      <w:proofErr w:type="gram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500 , que é uma árvore de nós, cada um consistindo de um conjunto de atributos com seus respectivos valores. O LDAP foi criado como uma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alternativa ao </w:t>
      </w:r>
      <w:proofErr w:type="spellStart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Directory</w:t>
      </w:r>
      <w:proofErr w:type="spellEnd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Access Protocol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(DAP).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diretorio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nas distribuições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afins é </w:t>
      </w: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etc</w:t>
      </w:r>
      <w:proofErr w:type="spell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já nas distribuições baseadas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centos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diretorio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openldap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Basicamente o arquivo de configuração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 ser feito no arquivo </w:t>
      </w:r>
      <w:proofErr w:type="spellStart"/>
      <w:proofErr w:type="gram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slapd.</w:t>
      </w:r>
      <w:proofErr w:type="gram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conf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ou então pode se criar as configurações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apartir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arquivos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LDIFs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adicionar essas configurações ao DIT, essa configuração é conhecida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fly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ou seja depois de cada configuração do servidor LDAP não precisa reiniciar o serviço.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Essas configurações são feitas tanto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distriuições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</w:p>
    <w:p w:rsidR="003D1F96" w:rsidRDefault="003D1F96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cliente começa uma sessão de LDAP ligando-se a um servidor LDAP, normalmente pela porta padrão: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389, TCP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 Este envia requisições para o servidor, o qual devolve respostas. As operações básicas são: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AUTENTICA e ESPECIFICA a versão do protocolo LDAP;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Unbind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fecha a conexão, não o inverso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Abandon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aborta uma requisição prévia;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Search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procura por e/ou recupera entradas dos diretórios;</w:t>
      </w:r>
      <w:r>
        <w:rPr>
          <w:rFonts w:ascii="Helvetica" w:hAnsi="Helvetica" w:cs="Helvetica"/>
          <w:color w:val="343A40"/>
          <w:sz w:val="21"/>
          <w:szCs w:val="21"/>
        </w:rPr>
        <w:br/>
        <w:t>Compare – testa se uma entrada tem determinado valor como atributo;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adiciona uma nova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Delete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– apaga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Modify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modifica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lastRenderedPageBreak/>
        <w:t>Modify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DN – move ou renomeia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StartTLS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protege a conexão com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Layer Security (TLS);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operação genérica para definir outras operações;</w:t>
      </w:r>
    </w:p>
    <w:p w:rsidR="003D1F96" w:rsidRDefault="003D1F96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>
        <w:rPr>
          <w:rFonts w:ascii="Helvetica" w:hAnsi="Helvetica" w:cs="Helvetica"/>
          <w:color w:val="343A40"/>
          <w:sz w:val="21"/>
          <w:szCs w:val="21"/>
        </w:rPr>
        <w:t>LDAP usa SSL</w:t>
      </w:r>
      <w:r>
        <w:rPr>
          <w:rFonts w:ascii="Helvetica" w:hAnsi="Helvetica" w:cs="Helvetica"/>
          <w:color w:val="343A40"/>
          <w:sz w:val="21"/>
          <w:szCs w:val="21"/>
        </w:rPr>
        <w:t xml:space="preserve"> e TLS:</w:t>
      </w:r>
    </w:p>
    <w:p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LDAP </w:t>
      </w:r>
      <w:proofErr w:type="gram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Over</w:t>
      </w:r>
      <w:proofErr w:type="gram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 SSL 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vs</w:t>
      </w:r>
      <w:proofErr w:type="spell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 xml:space="preserve"> LDAP with STARTTLS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There are two ways to encrypt LDAP connections with SSL/TLS.</w:t>
      </w:r>
    </w:p>
    <w:p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Traditionally, LDAP connections that needed to be encrypted were handled on a separate port, typically 636. The entire connection would be wrapped with SSL/TLS. This process, called LDAP over SSL, uses the ldaps</w:t>
      </w:r>
      <w:proofErr w:type="gramStart"/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:/</w:t>
      </w:r>
      <w:proofErr w:type="gramEnd"/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/ protocol. This method of encryption is now deprecated.</w:t>
      </w:r>
    </w:p>
    <w:p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 xml:space="preserve">STARTTLS is an alternative approach that is now the preferred method of encrypting an LDAP connection. STARTTLS "upgrades" a non-encrypted connection by wrapping it with SSL/TLS after/during the connection process. This allows unencrypted and encrypted connections to be handled by the same port.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guide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will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utilize STARTTLS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encrypt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connections.</w:t>
      </w:r>
    </w:p>
    <w:p w:rsidR="003D1F96" w:rsidRDefault="003D1F96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056AD" w:rsidRDefault="00F056AD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F056AD" w:rsidRPr="00F056AD" w:rsidRDefault="00F056AD" w:rsidP="00F056AD">
      <w:pPr>
        <w:jc w:val="center"/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</w:pPr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 xml:space="preserve">Active </w:t>
      </w:r>
      <w:proofErr w:type="spellStart"/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>Directory</w:t>
      </w:r>
      <w:proofErr w:type="spellEnd"/>
    </w:p>
    <w:p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que os usuários possam acessar os recursos disponíveis na rede, estes deverão efetuar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Quando o usuário efetua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AD verifica se as informações fornecidas pelos usuários são válidas, e em caso positivo, faz a autenticação. O AD é organizado de uma forma hierárquica, com o uso de domínios. Caso uma rede utilize o AD, poderá conter vários domínios. Um domínio é nada mais do que um limite administrativo e de segurança, ou seja, o administrador do domínio possui permissões somente no domínio, e não em outros domínios. As políticas de segurança também se aplicam somente ao domínio, e não a outros domínios. Resumindo: diferentes domínios podem ter diferentes administradores e diferentes políticas de segurança.</w:t>
      </w:r>
    </w:p>
    <w:p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Nos domínios baseados no AD, podemos ter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dois</w:t>
      </w:r>
      <w:r>
        <w:rPr>
          <w:rFonts w:ascii="Helvetica" w:hAnsi="Helvetica" w:cs="Helvetica"/>
          <w:color w:val="343A40"/>
          <w:sz w:val="21"/>
          <w:szCs w:val="21"/>
        </w:rPr>
        <w:t xml:space="preserve"> tipos de servidores: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Controlador de Domínio (DC – Domain 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Controller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) e Servidor Membro (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Member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 Server).</w:t>
      </w:r>
    </w:p>
    <w:p w:rsidR="00F056AD" w:rsidRDefault="00F056AD" w:rsidP="002B4C3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LDAP nativo roda na porta 389/TCP e não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recursos de segurança. Entretanto,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pode-se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utilizar recursos de segurança de maneira estendida, como pela criação de túneis TLS para tal finalidade. Nesse caso, muda-se inclusive, a porta de operação do protocolo, também conhecido como LDAPS – 636/TCP.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Pode-se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verificar tais informações diretamente nas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RFCs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LDAP: 4511 – Definição do protocolo e 4513 – Mecanismos de autenticação. </w:t>
      </w:r>
    </w:p>
    <w:p w:rsidR="00D76788" w:rsidRDefault="00D76788">
      <w:proofErr w:type="spellStart"/>
      <w:proofErr w:type="gramStart"/>
      <w:r w:rsidRPr="00D76788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OAuth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 padrão aberto para autorização, comumente utilizado para permitir que os usuários da Internet possam fazer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em sites de terceiros usando suas contas do Google,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Microsoft,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Twitter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etc.—mas, sem expor sua senha.[1] Geralmente,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 aos clientes um "acesso seguro delegado" aos recursos do servidor em nome do proprietário do recurso. Ele especifica um processo para proprietários de recursos para autorizar o acesso de terceiros aos seus recursos de servidor sem compartilhar suas credenciais. Projetado especificamente para trabalhar com o Protocolo de Transferência de Hipertexto (HTTP), 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 essencialmente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tokens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acesso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 xml:space="preserve">a ser emitidos para clientes de terceiros, mediante autorização do servidor, com a aprovação do proprietário do recurso. O terceiro, em seguida, usa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token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acesso para recursos protegidos hospedados pelo servidor.</w:t>
      </w:r>
    </w:p>
    <w:sectPr w:rsidR="00D7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7A3A"/>
    <w:multiLevelType w:val="hybridMultilevel"/>
    <w:tmpl w:val="95AA462C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1558"/>
    <w:multiLevelType w:val="hybridMultilevel"/>
    <w:tmpl w:val="1A4ADAF2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4E6C"/>
    <w:multiLevelType w:val="hybridMultilevel"/>
    <w:tmpl w:val="B6B60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814C6"/>
    <w:multiLevelType w:val="hybridMultilevel"/>
    <w:tmpl w:val="3758787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7CCE362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5302D"/>
    <w:multiLevelType w:val="hybridMultilevel"/>
    <w:tmpl w:val="B6822934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74BD4"/>
    <w:multiLevelType w:val="hybridMultilevel"/>
    <w:tmpl w:val="A296E4B6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5A9"/>
    <w:multiLevelType w:val="hybridMultilevel"/>
    <w:tmpl w:val="87CE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D6863"/>
    <w:multiLevelType w:val="multilevel"/>
    <w:tmpl w:val="DCC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D52DB"/>
    <w:multiLevelType w:val="hybridMultilevel"/>
    <w:tmpl w:val="D458E4C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88"/>
    <w:rsid w:val="002B4C35"/>
    <w:rsid w:val="00320628"/>
    <w:rsid w:val="003D1F96"/>
    <w:rsid w:val="00A77983"/>
    <w:rsid w:val="00C158A1"/>
    <w:rsid w:val="00D76788"/>
    <w:rsid w:val="00F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788"/>
    <w:rPr>
      <w:b/>
      <w:bCs/>
    </w:rPr>
  </w:style>
  <w:style w:type="paragraph" w:styleId="NormalWeb">
    <w:name w:val="Normal (Web)"/>
    <w:basedOn w:val="Normal"/>
    <w:uiPriority w:val="99"/>
    <w:unhideWhenUsed/>
    <w:rsid w:val="00D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9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788"/>
    <w:rPr>
      <w:b/>
      <w:bCs/>
    </w:rPr>
  </w:style>
  <w:style w:type="paragraph" w:styleId="NormalWeb">
    <w:name w:val="Normal (Web)"/>
    <w:basedOn w:val="Normal"/>
    <w:uiPriority w:val="99"/>
    <w:unhideWhenUsed/>
    <w:rsid w:val="00D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pen_source" TargetMode="External"/><Relationship Id="rId13" Type="http://schemas.openxmlformats.org/officeDocument/2006/relationships/hyperlink" Target="https://pt.wikipedia.org/wiki/Linux" TargetMode="External"/><Relationship Id="rId18" Type="http://schemas.openxmlformats.org/officeDocument/2006/relationships/hyperlink" Target="https://pt.wikipedia.org/wiki/Solari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t.wikipedia.org/wiki/IPv4" TargetMode="External"/><Relationship Id="rId7" Type="http://schemas.openxmlformats.org/officeDocument/2006/relationships/hyperlink" Target="https://pt.wikipedia.org/wiki/Software_livre" TargetMode="External"/><Relationship Id="rId12" Type="http://schemas.openxmlformats.org/officeDocument/2006/relationships/hyperlink" Target="https://pt.wikipedia.org/wiki/Sistema_operativo" TargetMode="External"/><Relationship Id="rId17" Type="http://schemas.openxmlformats.org/officeDocument/2006/relationships/hyperlink" Target="https://pt.wikipedia.org/wiki/Mac_OS_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HP-UX" TargetMode="External"/><Relationship Id="rId20" Type="http://schemas.openxmlformats.org/officeDocument/2006/relationships/hyperlink" Target="https://pt.wikipedia.org/wiki/Z/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oftware" TargetMode="External"/><Relationship Id="rId11" Type="http://schemas.openxmlformats.org/officeDocument/2006/relationships/hyperlink" Target="https://pt.wikipedia.org/wiki/X.500" TargetMode="External"/><Relationship Id="rId24" Type="http://schemas.openxmlformats.org/officeDocument/2006/relationships/hyperlink" Target="https://pt.wikipedia.org/wiki/T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dvanced_Interactive_eXecutive" TargetMode="External"/><Relationship Id="rId23" Type="http://schemas.openxmlformats.org/officeDocument/2006/relationships/hyperlink" Target="https://pt.wikipedia.org/wiki/SSL" TargetMode="External"/><Relationship Id="rId10" Type="http://schemas.openxmlformats.org/officeDocument/2006/relationships/hyperlink" Target="https://pt.wikipedia.org/wiki/Servi%C3%A7o_de_diret%C3%B3rio" TargetMode="External"/><Relationship Id="rId19" Type="http://schemas.openxmlformats.org/officeDocument/2006/relationships/hyperlink" Target="https://pt.wikipedia.org/wiki/Microsoft_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DAP" TargetMode="External"/><Relationship Id="rId14" Type="http://schemas.openxmlformats.org/officeDocument/2006/relationships/hyperlink" Target="https://pt.wikipedia.org/wiki/Berkeley_Software_Distribution" TargetMode="External"/><Relationship Id="rId22" Type="http://schemas.openxmlformats.org/officeDocument/2006/relationships/hyperlink" Target="https://pt.wikipedia.org/wiki/IPv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1047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2021-03-25T02:09:00Z</dcterms:created>
  <dcterms:modified xsi:type="dcterms:W3CDTF">2021-03-25T03:03:00Z</dcterms:modified>
</cp:coreProperties>
</file>