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A2C" w:rsidRPr="006832B9" w:rsidRDefault="006832B9" w:rsidP="002105C5">
      <w:pPr>
        <w:spacing w:after="0"/>
        <w:rPr>
          <w:b/>
          <w:u w:val="single"/>
        </w:rPr>
      </w:pPr>
      <w:r>
        <w:rPr>
          <w:b/>
          <w:u w:val="single"/>
        </w:rPr>
        <w:t>ISO 27000 – sé</w:t>
      </w:r>
      <w:r w:rsidR="0064504C" w:rsidRPr="006832B9">
        <w:rPr>
          <w:b/>
          <w:u w:val="single"/>
        </w:rPr>
        <w:t>ries</w:t>
      </w:r>
    </w:p>
    <w:p w:rsidR="006832B9" w:rsidRDefault="006832B9" w:rsidP="002105C5">
      <w:pPr>
        <w:spacing w:after="0"/>
      </w:pPr>
    </w:p>
    <w:p w:rsidR="0064504C" w:rsidRDefault="0064504C" w:rsidP="002105C5">
      <w:pPr>
        <w:spacing w:after="0"/>
        <w:rPr>
          <w:rFonts w:ascii="Tahoma" w:hAnsi="Tahoma" w:cs="Tahoma"/>
          <w:color w:val="6F6F6F"/>
          <w:shd w:val="clear" w:color="auto" w:fill="FEFEFE"/>
        </w:rPr>
      </w:pPr>
      <w:r>
        <w:rPr>
          <w:rFonts w:ascii="Tahoma" w:hAnsi="Tahoma" w:cs="Tahoma"/>
          <w:color w:val="6F6F6F"/>
          <w:shd w:val="clear" w:color="auto" w:fill="FEFEFE"/>
        </w:rPr>
        <w:t>Para que o controle seja eficaz é necessário que os usuários declarem formalmente que conhecem seus direitos e obrigações em relação aos acessos. Se não for assim, um usuário pode agir de má fé e dizer apenas que não sabia.</w:t>
      </w:r>
    </w:p>
    <w:p w:rsidR="0064504C" w:rsidRDefault="0064504C" w:rsidP="002105C5">
      <w:pPr>
        <w:spacing w:after="0"/>
        <w:rPr>
          <w:rStyle w:val="Forte"/>
          <w:rFonts w:ascii="Tahoma" w:hAnsi="Tahoma" w:cs="Tahoma"/>
          <w:color w:val="6F6F6F"/>
          <w:shd w:val="clear" w:color="auto" w:fill="FEFEFE"/>
        </w:rPr>
      </w:pPr>
      <w:r>
        <w:rPr>
          <w:rFonts w:ascii="Tahoma" w:hAnsi="Tahoma" w:cs="Tahoma"/>
          <w:color w:val="6F6F6F"/>
          <w:shd w:val="clear" w:color="auto" w:fill="FFFFFF"/>
        </w:rPr>
        <w:t>Na fase de planejamento, os objetivos de segurança devem ser: elaborados considerando os tratamentos de riscos.</w:t>
      </w:r>
      <w:r w:rsidRPr="0064504C">
        <w:rPr>
          <w:rStyle w:val="Forte"/>
          <w:rFonts w:ascii="Tahoma" w:hAnsi="Tahoma" w:cs="Tahoma"/>
          <w:color w:val="6F6F6F"/>
          <w:shd w:val="clear" w:color="auto" w:fill="FEFEFE"/>
        </w:rPr>
        <w:t xml:space="preserve"> </w:t>
      </w:r>
      <w:r>
        <w:rPr>
          <w:rStyle w:val="Forte"/>
          <w:rFonts w:ascii="Tahoma" w:hAnsi="Tahoma" w:cs="Tahoma"/>
          <w:color w:val="6F6F6F"/>
          <w:shd w:val="clear" w:color="auto" w:fill="FEFEFE"/>
        </w:rPr>
        <w:t>Planejamento da Segurança</w:t>
      </w:r>
      <w:r>
        <w:rPr>
          <w:rFonts w:ascii="Tahoma" w:hAnsi="Tahoma" w:cs="Tahoma"/>
          <w:color w:val="6F6F6F"/>
        </w:rPr>
        <w:br/>
      </w:r>
      <w:r>
        <w:rPr>
          <w:rFonts w:ascii="Tahoma" w:hAnsi="Tahoma" w:cs="Tahoma"/>
          <w:color w:val="6F6F6F"/>
        </w:rPr>
        <w:br/>
      </w:r>
      <w:r>
        <w:rPr>
          <w:rStyle w:val="Forte"/>
          <w:rFonts w:ascii="Tahoma" w:hAnsi="Tahoma" w:cs="Tahoma"/>
          <w:i/>
          <w:iCs/>
          <w:color w:val="6F6F6F"/>
          <w:shd w:val="clear" w:color="auto" w:fill="FEFEFE"/>
        </w:rPr>
        <w:t>Durante a fase do planejamento de segurança, o gestor de segurança deve estudar e entender os requisitos da ISO 27001</w:t>
      </w:r>
      <w:r>
        <w:rPr>
          <w:rFonts w:ascii="Tahoma" w:hAnsi="Tahoma" w:cs="Tahoma"/>
          <w:color w:val="6F6F6F"/>
          <w:shd w:val="clear" w:color="auto" w:fill="FEFEFE"/>
        </w:rPr>
        <w:t>. Nessa fase, também é definido o SGSI que deve ser apresentado à direção e a todos os envolvidos com os negócios da empresa (incluindo clientes, fornecedores e colaboradores).</w:t>
      </w:r>
      <w:r>
        <w:rPr>
          <w:rFonts w:ascii="Tahoma" w:hAnsi="Tahoma" w:cs="Tahoma"/>
          <w:color w:val="6F6F6F"/>
        </w:rPr>
        <w:br/>
      </w:r>
      <w:r>
        <w:rPr>
          <w:rFonts w:ascii="Tahoma" w:hAnsi="Tahoma" w:cs="Tahoma"/>
          <w:color w:val="6F6F6F"/>
        </w:rPr>
        <w:br/>
      </w:r>
      <w:r>
        <w:rPr>
          <w:rFonts w:ascii="Tahoma" w:hAnsi="Tahoma" w:cs="Tahoma"/>
          <w:color w:val="6F6F6F"/>
          <w:shd w:val="clear" w:color="auto" w:fill="FEFEFE"/>
        </w:rPr>
        <w:t>Também é feito o desen</w:t>
      </w:r>
      <w:r w:rsidR="00065173">
        <w:rPr>
          <w:rFonts w:ascii="Tahoma" w:hAnsi="Tahoma" w:cs="Tahoma"/>
          <w:color w:val="6F6F6F"/>
          <w:shd w:val="clear" w:color="auto" w:fill="FEFEFE"/>
        </w:rPr>
        <w:t xml:space="preserve">volvimento do SGSI, que define </w:t>
      </w:r>
      <w:r>
        <w:rPr>
          <w:rFonts w:ascii="Tahoma" w:hAnsi="Tahoma" w:cs="Tahoma"/>
          <w:color w:val="6F6F6F"/>
          <w:shd w:val="clear" w:color="auto" w:fill="FEFEFE"/>
        </w:rPr>
        <w:t>o</w:t>
      </w:r>
      <w:r w:rsidR="00065173">
        <w:rPr>
          <w:rFonts w:ascii="Tahoma" w:hAnsi="Tahoma" w:cs="Tahoma"/>
          <w:color w:val="6F6F6F"/>
          <w:shd w:val="clear" w:color="auto" w:fill="FEFEFE"/>
        </w:rPr>
        <w:t>s</w:t>
      </w:r>
      <w:r>
        <w:rPr>
          <w:rFonts w:ascii="Tahoma" w:hAnsi="Tahoma" w:cs="Tahoma"/>
          <w:color w:val="6F6F6F"/>
          <w:shd w:val="clear" w:color="auto" w:fill="FEFEFE"/>
        </w:rPr>
        <w:t xml:space="preserve"> participantes do comitê do SGSI. Também </w:t>
      </w:r>
      <w:proofErr w:type="gramStart"/>
      <w:r>
        <w:rPr>
          <w:rFonts w:ascii="Tahoma" w:hAnsi="Tahoma" w:cs="Tahoma"/>
          <w:color w:val="6F6F6F"/>
          <w:shd w:val="clear" w:color="auto" w:fill="FEFEFE"/>
        </w:rPr>
        <w:t>é</w:t>
      </w:r>
      <w:proofErr w:type="gramEnd"/>
      <w:r>
        <w:rPr>
          <w:rFonts w:ascii="Tahoma" w:hAnsi="Tahoma" w:cs="Tahoma"/>
          <w:color w:val="6F6F6F"/>
          <w:shd w:val="clear" w:color="auto" w:fill="FEFEFE"/>
        </w:rPr>
        <w:t xml:space="preserve"> desenvolvido quais serão os objetivos, responsabilidades e limites de atuação do SGSI.</w:t>
      </w:r>
      <w:r>
        <w:rPr>
          <w:rFonts w:ascii="Tahoma" w:hAnsi="Tahoma" w:cs="Tahoma"/>
          <w:color w:val="6F6F6F"/>
        </w:rPr>
        <w:br/>
      </w:r>
      <w:r>
        <w:rPr>
          <w:rFonts w:ascii="Tahoma" w:hAnsi="Tahoma" w:cs="Tahoma"/>
          <w:color w:val="6F6F6F"/>
        </w:rPr>
        <w:br/>
      </w:r>
      <w:r>
        <w:rPr>
          <w:rStyle w:val="Forte"/>
          <w:rFonts w:ascii="Tahoma" w:hAnsi="Tahoma" w:cs="Tahoma"/>
          <w:color w:val="6F6F6F"/>
          <w:shd w:val="clear" w:color="auto" w:fill="FEFEFE"/>
        </w:rPr>
        <w:t>Essa fase é importante, pois busca manter o projeto em conformidade com os fatores legais e contratuais envolvidos nos negócios da empresa, além de estabelecer critérios para avaliação de riscos nos negócios.</w:t>
      </w:r>
    </w:p>
    <w:p w:rsidR="0064504C" w:rsidRDefault="0064504C" w:rsidP="002105C5">
      <w:pPr>
        <w:spacing w:after="0"/>
        <w:rPr>
          <w:rStyle w:val="Forte"/>
          <w:rFonts w:ascii="Tahoma" w:hAnsi="Tahoma" w:cs="Tahoma"/>
          <w:color w:val="6F6F6F"/>
          <w:shd w:val="clear" w:color="auto" w:fill="FEFEFE"/>
        </w:rPr>
      </w:pPr>
    </w:p>
    <w:p w:rsidR="0064504C" w:rsidRDefault="00756E94" w:rsidP="002105C5">
      <w:pPr>
        <w:spacing w:after="0"/>
      </w:pPr>
      <w:r w:rsidRPr="00065173">
        <w:rPr>
          <w:b/>
          <w:u w:val="single"/>
        </w:rPr>
        <w:t xml:space="preserve">Incidente </w:t>
      </w:r>
      <w:r w:rsidR="0064504C" w:rsidRPr="00065173">
        <w:rPr>
          <w:b/>
          <w:u w:val="single"/>
        </w:rPr>
        <w:t>de segurança da informação</w:t>
      </w:r>
      <w:r>
        <w:t xml:space="preserve">: </w:t>
      </w:r>
      <w:r w:rsidR="0064504C">
        <w:t>Um simples ou uma série de eventos de segurança da informação indesejados ou inesperados, que tenham uma grande probabilidade de comprometer as operações do negócio e ameaçar a segurança da informação</w:t>
      </w:r>
      <w:r>
        <w:t>.</w:t>
      </w:r>
    </w:p>
    <w:p w:rsidR="00756E94" w:rsidRDefault="00756E94" w:rsidP="002105C5">
      <w:pPr>
        <w:spacing w:after="0"/>
      </w:pPr>
      <w:r w:rsidRPr="00065173">
        <w:rPr>
          <w:b/>
          <w:u w:val="single"/>
        </w:rPr>
        <w:t>Evento de segurança da informação</w:t>
      </w:r>
      <w:r>
        <w:t>: Uma ocorrência identificada de um estado de sistema, serviço ou rede, indicando uma possível violação da política de segurança da informação ou falha de controles, ou uma situação previamente desconhecida, que possa ser relevante para a segurança da informação.</w:t>
      </w:r>
    </w:p>
    <w:p w:rsidR="006832B9" w:rsidRDefault="006832B9" w:rsidP="002105C5">
      <w:pPr>
        <w:spacing w:after="0"/>
      </w:pPr>
    </w:p>
    <w:p w:rsidR="009F7A67" w:rsidRPr="009F7A67" w:rsidRDefault="009F7A67" w:rsidP="002105C5">
      <w:pPr>
        <w:shd w:val="clear" w:color="auto" w:fill="FFFFFF"/>
        <w:spacing w:after="0" w:line="240" w:lineRule="auto"/>
        <w:rPr>
          <w:rFonts w:ascii="Tahoma" w:eastAsia="Times New Roman" w:hAnsi="Tahoma" w:cs="Tahoma"/>
          <w:color w:val="6F6F6F"/>
          <w:lang w:eastAsia="pt-BR"/>
        </w:rPr>
      </w:pPr>
      <w:r>
        <w:rPr>
          <w:rFonts w:ascii="Tahoma" w:eastAsia="Times New Roman" w:hAnsi="Tahoma" w:cs="Tahoma"/>
          <w:color w:val="6F6F6F"/>
          <w:lang w:eastAsia="pt-BR"/>
        </w:rPr>
        <w:t xml:space="preserve">A </w:t>
      </w:r>
      <w:r w:rsidRPr="009F7A67">
        <w:rPr>
          <w:rFonts w:ascii="Tahoma" w:eastAsia="Times New Roman" w:hAnsi="Tahoma" w:cs="Tahoma"/>
          <w:color w:val="6F6F6F"/>
          <w:lang w:eastAsia="pt-BR"/>
        </w:rPr>
        <w:t>gestão de ativos visa alcançar e manter a proteção adequada dos ativos da organização, sendo que</w:t>
      </w:r>
      <w:r>
        <w:rPr>
          <w:rFonts w:ascii="Tahoma" w:eastAsia="Times New Roman" w:hAnsi="Tahoma" w:cs="Tahoma"/>
          <w:color w:val="6F6F6F"/>
          <w:lang w:eastAsia="pt-BR"/>
        </w:rPr>
        <w:t>:</w:t>
      </w:r>
    </w:p>
    <w:p w:rsidR="009F7A67" w:rsidRDefault="009F7A67" w:rsidP="002105C5">
      <w:pPr>
        <w:shd w:val="clear" w:color="auto" w:fill="FFFFFF"/>
        <w:spacing w:after="0" w:line="240" w:lineRule="auto"/>
        <w:rPr>
          <w:rFonts w:ascii="Tahoma" w:eastAsia="Times New Roman" w:hAnsi="Tahoma" w:cs="Tahoma"/>
          <w:color w:val="6F6F6F"/>
          <w:lang w:eastAsia="pt-BR"/>
        </w:rPr>
      </w:pPr>
      <w:proofErr w:type="gramStart"/>
      <w:r w:rsidRPr="009F7A67">
        <w:rPr>
          <w:rFonts w:ascii="Tahoma" w:eastAsia="Times New Roman" w:hAnsi="Tahoma" w:cs="Tahoma"/>
          <w:color w:val="6F6F6F"/>
          <w:lang w:eastAsia="pt-BR"/>
        </w:rPr>
        <w:t>o</w:t>
      </w:r>
      <w:proofErr w:type="gramEnd"/>
      <w:r w:rsidRPr="009F7A67">
        <w:rPr>
          <w:rFonts w:ascii="Tahoma" w:eastAsia="Times New Roman" w:hAnsi="Tahoma" w:cs="Tahoma"/>
          <w:color w:val="6F6F6F"/>
          <w:lang w:eastAsia="pt-BR"/>
        </w:rPr>
        <w:t xml:space="preserve"> proprietário do ativo deve ser responsável por definir e, periodicamente, analisar criticamente as classificações e restrições ao acesso aos ativos importantes, levando em conta as políticas de controle de acesso aplicáveis.</w:t>
      </w:r>
    </w:p>
    <w:p w:rsidR="00AE69D5" w:rsidRDefault="00AE69D5" w:rsidP="002105C5">
      <w:pPr>
        <w:shd w:val="clear" w:color="auto" w:fill="FFFFFF"/>
        <w:spacing w:after="0" w:line="240" w:lineRule="auto"/>
        <w:rPr>
          <w:rFonts w:ascii="Tahoma" w:eastAsia="Times New Roman" w:hAnsi="Tahoma" w:cs="Tahoma"/>
          <w:color w:val="6F6F6F"/>
          <w:lang w:eastAsia="pt-BR"/>
        </w:rPr>
      </w:pPr>
    </w:p>
    <w:p w:rsidR="00AE69D5" w:rsidRPr="00AE69D5" w:rsidRDefault="00AE69D5" w:rsidP="002105C5">
      <w:pPr>
        <w:spacing w:after="0" w:line="240" w:lineRule="auto"/>
        <w:rPr>
          <w:rFonts w:ascii="Times New Roman" w:eastAsia="Times New Roman" w:hAnsi="Times New Roman" w:cs="Times New Roman"/>
          <w:sz w:val="24"/>
          <w:szCs w:val="24"/>
          <w:u w:val="single"/>
          <w:lang w:eastAsia="pt-BR"/>
        </w:rPr>
      </w:pPr>
      <w:r w:rsidRPr="00AE69D5">
        <w:rPr>
          <w:rFonts w:ascii="Tahoma" w:eastAsia="Times New Roman" w:hAnsi="Tahoma" w:cs="Tahoma"/>
          <w:color w:val="6F6F6F"/>
          <w:u w:val="single"/>
          <w:shd w:val="clear" w:color="auto" w:fill="FEFEFE"/>
          <w:lang w:eastAsia="pt-BR"/>
        </w:rPr>
        <w:t>Segundo o Glossário da NBR ISO 27002:</w:t>
      </w:r>
    </w:p>
    <w:p w:rsidR="00AE69D5" w:rsidRPr="00AE69D5" w:rsidRDefault="00AE69D5" w:rsidP="002105C5">
      <w:pPr>
        <w:numPr>
          <w:ilvl w:val="0"/>
          <w:numId w:val="1"/>
        </w:numPr>
        <w:shd w:val="clear" w:color="auto" w:fill="FEFEFE"/>
        <w:spacing w:before="100" w:beforeAutospacing="1" w:after="0" w:line="240" w:lineRule="auto"/>
        <w:ind w:left="0"/>
        <w:rPr>
          <w:rFonts w:ascii="Tahoma" w:eastAsia="Times New Roman" w:hAnsi="Tahoma" w:cs="Tahoma"/>
          <w:color w:val="6F6F6F"/>
          <w:lang w:eastAsia="pt-BR"/>
        </w:rPr>
      </w:pPr>
      <w:r w:rsidRPr="00AE69D5">
        <w:rPr>
          <w:rFonts w:ascii="Tahoma" w:eastAsia="Times New Roman" w:hAnsi="Tahoma" w:cs="Tahoma"/>
          <w:b/>
          <w:bCs/>
          <w:color w:val="6F6F6F"/>
          <w:lang w:eastAsia="pt-BR"/>
        </w:rPr>
        <w:t>Ativo</w:t>
      </w:r>
      <w:r w:rsidRPr="00AE69D5">
        <w:rPr>
          <w:rFonts w:ascii="Tahoma" w:eastAsia="Times New Roman" w:hAnsi="Tahoma" w:cs="Tahoma"/>
          <w:color w:val="6F6F6F"/>
          <w:lang w:eastAsia="pt-BR"/>
        </w:rPr>
        <w:t>: qualquer coisa que tenha valor para a organização.</w:t>
      </w:r>
    </w:p>
    <w:p w:rsidR="00AE69D5" w:rsidRPr="00AE69D5" w:rsidRDefault="00AE69D5" w:rsidP="002105C5">
      <w:pPr>
        <w:numPr>
          <w:ilvl w:val="0"/>
          <w:numId w:val="1"/>
        </w:numPr>
        <w:shd w:val="clear" w:color="auto" w:fill="FEFEFE"/>
        <w:spacing w:before="100" w:beforeAutospacing="1" w:after="0" w:line="240" w:lineRule="auto"/>
        <w:ind w:left="0"/>
        <w:rPr>
          <w:rFonts w:ascii="Tahoma" w:eastAsia="Times New Roman" w:hAnsi="Tahoma" w:cs="Tahoma"/>
          <w:color w:val="6F6F6F"/>
          <w:lang w:eastAsia="pt-BR"/>
        </w:rPr>
      </w:pPr>
      <w:r w:rsidRPr="00AE69D5">
        <w:rPr>
          <w:rFonts w:ascii="Tahoma" w:eastAsia="Times New Roman" w:hAnsi="Tahoma" w:cs="Tahoma"/>
          <w:b/>
          <w:bCs/>
          <w:color w:val="6F6F6F"/>
          <w:lang w:eastAsia="pt-BR"/>
        </w:rPr>
        <w:t>Evento</w:t>
      </w:r>
      <w:r w:rsidRPr="00AE69D5">
        <w:rPr>
          <w:rFonts w:ascii="Tahoma" w:eastAsia="Times New Roman" w:hAnsi="Tahoma" w:cs="Tahoma"/>
          <w:color w:val="6F6F6F"/>
          <w:lang w:eastAsia="pt-BR"/>
        </w:rPr>
        <w:t>: ocorrência identificada de um sistema, serviço ou rede, que indica uma possível violação da política de segurança da informação ou falha de controles, ou uma situação previamente desconhecida, que possa ser relevante para a segurança da informação.</w:t>
      </w:r>
    </w:p>
    <w:p w:rsidR="00AE69D5" w:rsidRPr="00AE69D5" w:rsidRDefault="00AE69D5" w:rsidP="002105C5">
      <w:pPr>
        <w:numPr>
          <w:ilvl w:val="0"/>
          <w:numId w:val="1"/>
        </w:numPr>
        <w:shd w:val="clear" w:color="auto" w:fill="FEFEFE"/>
        <w:spacing w:before="100" w:beforeAutospacing="1" w:after="0" w:line="240" w:lineRule="auto"/>
        <w:ind w:left="0"/>
        <w:rPr>
          <w:rFonts w:ascii="Tahoma" w:eastAsia="Times New Roman" w:hAnsi="Tahoma" w:cs="Tahoma"/>
          <w:color w:val="6F6F6F"/>
          <w:lang w:eastAsia="pt-BR"/>
        </w:rPr>
      </w:pPr>
      <w:r w:rsidRPr="00AE69D5">
        <w:rPr>
          <w:rFonts w:ascii="Tahoma" w:eastAsia="Times New Roman" w:hAnsi="Tahoma" w:cs="Tahoma"/>
          <w:b/>
          <w:bCs/>
          <w:color w:val="6F6F6F"/>
          <w:lang w:eastAsia="pt-BR"/>
        </w:rPr>
        <w:t>Controle</w:t>
      </w:r>
      <w:r w:rsidRPr="00AE69D5">
        <w:rPr>
          <w:rFonts w:ascii="Tahoma" w:eastAsia="Times New Roman" w:hAnsi="Tahoma" w:cs="Tahoma"/>
          <w:color w:val="6F6F6F"/>
          <w:lang w:eastAsia="pt-BR"/>
        </w:rPr>
        <w:t>: </w:t>
      </w:r>
      <w:r w:rsidRPr="00AE69D5">
        <w:rPr>
          <w:rFonts w:ascii="Tahoma" w:eastAsia="Times New Roman" w:hAnsi="Tahoma" w:cs="Tahoma"/>
          <w:b/>
          <w:bCs/>
          <w:i/>
          <w:iCs/>
          <w:color w:val="6F6F6F"/>
          <w:lang w:eastAsia="pt-BR"/>
        </w:rPr>
        <w:t>forma de gerenciar o risco, incluindo políticas, procedimentos, diretrizes, práticas ou estruturas organizacionais</w:t>
      </w:r>
      <w:r w:rsidRPr="00AE69D5">
        <w:rPr>
          <w:rFonts w:ascii="Tahoma" w:eastAsia="Times New Roman" w:hAnsi="Tahoma" w:cs="Tahoma"/>
          <w:color w:val="6F6F6F"/>
          <w:lang w:eastAsia="pt-BR"/>
        </w:rPr>
        <w:t>, que podem ser de natureza administrativa, técnica, de gestão ou legal. É também usado como sinônimo para </w:t>
      </w:r>
      <w:r w:rsidRPr="00AE69D5">
        <w:rPr>
          <w:rFonts w:ascii="Tahoma" w:eastAsia="Times New Roman" w:hAnsi="Tahoma" w:cs="Tahoma"/>
          <w:b/>
          <w:bCs/>
          <w:i/>
          <w:iCs/>
          <w:color w:val="6F6F6F"/>
          <w:lang w:eastAsia="pt-BR"/>
        </w:rPr>
        <w:t>proteção ou contramedida</w:t>
      </w:r>
      <w:r w:rsidRPr="00AE69D5">
        <w:rPr>
          <w:rFonts w:ascii="Tahoma" w:eastAsia="Times New Roman" w:hAnsi="Tahoma" w:cs="Tahoma"/>
          <w:color w:val="6F6F6F"/>
          <w:lang w:eastAsia="pt-BR"/>
        </w:rPr>
        <w:t>.</w:t>
      </w:r>
    </w:p>
    <w:p w:rsidR="00AE69D5" w:rsidRPr="00AE69D5" w:rsidRDefault="00AE69D5" w:rsidP="002105C5">
      <w:pPr>
        <w:numPr>
          <w:ilvl w:val="0"/>
          <w:numId w:val="1"/>
        </w:numPr>
        <w:shd w:val="clear" w:color="auto" w:fill="FEFEFE"/>
        <w:spacing w:before="100" w:beforeAutospacing="1" w:after="0" w:line="240" w:lineRule="auto"/>
        <w:ind w:left="0"/>
        <w:rPr>
          <w:rFonts w:ascii="Tahoma" w:eastAsia="Times New Roman" w:hAnsi="Tahoma" w:cs="Tahoma"/>
          <w:color w:val="6F6F6F"/>
          <w:lang w:eastAsia="pt-BR"/>
        </w:rPr>
      </w:pPr>
      <w:r w:rsidRPr="00AE69D5">
        <w:rPr>
          <w:rFonts w:ascii="Tahoma" w:eastAsia="Times New Roman" w:hAnsi="Tahoma" w:cs="Tahoma"/>
          <w:b/>
          <w:bCs/>
          <w:color w:val="6F6F6F"/>
          <w:lang w:eastAsia="pt-BR"/>
        </w:rPr>
        <w:t>Recurso de processamento de informação</w:t>
      </w:r>
      <w:r w:rsidRPr="00AE69D5">
        <w:rPr>
          <w:rFonts w:ascii="Tahoma" w:eastAsia="Times New Roman" w:hAnsi="Tahoma" w:cs="Tahoma"/>
          <w:color w:val="6F6F6F"/>
          <w:lang w:eastAsia="pt-BR"/>
        </w:rPr>
        <w:t xml:space="preserve">: qualquer sistema de processamento da informação, serviço ou </w:t>
      </w:r>
      <w:r w:rsidR="006832B9" w:rsidRPr="00AE69D5">
        <w:rPr>
          <w:rFonts w:ascii="Tahoma" w:eastAsia="Times New Roman" w:hAnsi="Tahoma" w:cs="Tahoma"/>
          <w:color w:val="6F6F6F"/>
          <w:lang w:eastAsia="pt-BR"/>
        </w:rPr>
        <w:t>infraestrutura</w:t>
      </w:r>
      <w:r w:rsidRPr="00AE69D5">
        <w:rPr>
          <w:rFonts w:ascii="Tahoma" w:eastAsia="Times New Roman" w:hAnsi="Tahoma" w:cs="Tahoma"/>
          <w:color w:val="6F6F6F"/>
          <w:lang w:eastAsia="pt-BR"/>
        </w:rPr>
        <w:t>, ou as instalações físicas que os </w:t>
      </w:r>
      <w:r w:rsidR="006832B9" w:rsidRPr="00AE69D5">
        <w:rPr>
          <w:rFonts w:ascii="Tahoma" w:eastAsia="Times New Roman" w:hAnsi="Tahoma" w:cs="Tahoma"/>
          <w:color w:val="6F6F6F"/>
          <w:lang w:eastAsia="pt-BR"/>
        </w:rPr>
        <w:t>abriguem.</w:t>
      </w:r>
    </w:p>
    <w:p w:rsidR="00AE69D5" w:rsidRDefault="00AE69D5" w:rsidP="002105C5">
      <w:pPr>
        <w:numPr>
          <w:ilvl w:val="0"/>
          <w:numId w:val="1"/>
        </w:numPr>
        <w:shd w:val="clear" w:color="auto" w:fill="FEFEFE"/>
        <w:spacing w:before="100" w:beforeAutospacing="1" w:after="0" w:line="240" w:lineRule="auto"/>
        <w:ind w:left="0"/>
        <w:rPr>
          <w:rFonts w:ascii="Tahoma" w:eastAsia="Times New Roman" w:hAnsi="Tahoma" w:cs="Tahoma"/>
          <w:color w:val="6F6F6F"/>
          <w:lang w:eastAsia="pt-BR"/>
        </w:rPr>
      </w:pPr>
      <w:r w:rsidRPr="00AE69D5">
        <w:rPr>
          <w:rFonts w:ascii="Tahoma" w:eastAsia="Times New Roman" w:hAnsi="Tahoma" w:cs="Tahoma"/>
          <w:b/>
          <w:bCs/>
          <w:color w:val="6F6F6F"/>
          <w:lang w:eastAsia="pt-BR"/>
        </w:rPr>
        <w:lastRenderedPageBreak/>
        <w:t>Política</w:t>
      </w:r>
      <w:r w:rsidRPr="00AE69D5">
        <w:rPr>
          <w:rFonts w:ascii="Tahoma" w:eastAsia="Times New Roman" w:hAnsi="Tahoma" w:cs="Tahoma"/>
          <w:color w:val="6F6F6F"/>
          <w:lang w:eastAsia="pt-BR"/>
        </w:rPr>
        <w:t>: intenções e diretrizes globais formalmente expressas pela direção.</w:t>
      </w:r>
    </w:p>
    <w:p w:rsidR="00246B8E" w:rsidRDefault="00246B8E" w:rsidP="00246B8E">
      <w:pPr>
        <w:shd w:val="clear" w:color="auto" w:fill="FEFEFE"/>
        <w:spacing w:before="100" w:beforeAutospacing="1" w:after="0" w:line="240" w:lineRule="auto"/>
        <w:rPr>
          <w:rFonts w:ascii="Tahoma" w:eastAsia="Times New Roman" w:hAnsi="Tahoma" w:cs="Tahoma"/>
          <w:color w:val="6F6F6F"/>
          <w:lang w:eastAsia="pt-BR"/>
        </w:rPr>
      </w:pPr>
    </w:p>
    <w:p w:rsidR="006832B9" w:rsidRDefault="00AE69D5" w:rsidP="00246B8E">
      <w:pPr>
        <w:shd w:val="clear" w:color="auto" w:fill="FEFEFE"/>
        <w:spacing w:after="0" w:line="240" w:lineRule="auto"/>
        <w:rPr>
          <w:rFonts w:ascii="Tahoma" w:hAnsi="Tahoma" w:cs="Tahoma"/>
          <w:b/>
          <w:i/>
          <w:color w:val="6F6F6F"/>
          <w:u w:val="single"/>
          <w:shd w:val="clear" w:color="auto" w:fill="FEFEFE"/>
        </w:rPr>
      </w:pPr>
      <w:r w:rsidRPr="008E008A">
        <w:rPr>
          <w:rFonts w:ascii="Tahoma" w:hAnsi="Tahoma" w:cs="Tahoma"/>
          <w:b/>
          <w:i/>
          <w:color w:val="6F6F6F"/>
          <w:u w:val="single"/>
          <w:shd w:val="clear" w:color="auto" w:fill="FEFEFE"/>
        </w:rPr>
        <w:t>Segundo a ISO 27002</w:t>
      </w:r>
      <w:r w:rsidR="008E008A" w:rsidRPr="008E008A">
        <w:rPr>
          <w:rFonts w:ascii="Tahoma" w:hAnsi="Tahoma" w:cs="Tahoma"/>
          <w:b/>
          <w:i/>
          <w:color w:val="6F6F6F"/>
          <w:u w:val="single"/>
          <w:shd w:val="clear" w:color="auto" w:fill="FEFEFE"/>
        </w:rPr>
        <w:t>:</w:t>
      </w:r>
    </w:p>
    <w:p w:rsidR="00AE69D5" w:rsidRDefault="00AE69D5" w:rsidP="00246B8E">
      <w:pPr>
        <w:shd w:val="clear" w:color="auto" w:fill="FEFEFE"/>
        <w:spacing w:after="0" w:line="240" w:lineRule="auto"/>
        <w:rPr>
          <w:rFonts w:ascii="Tahoma" w:hAnsi="Tahoma" w:cs="Tahoma"/>
          <w:color w:val="6F6F6F"/>
          <w:shd w:val="clear" w:color="auto" w:fill="FEFEFE"/>
        </w:rPr>
      </w:pPr>
      <w:r w:rsidRPr="008E008A">
        <w:rPr>
          <w:rFonts w:ascii="Tahoma" w:hAnsi="Tahoma" w:cs="Tahoma"/>
          <w:b/>
          <w:i/>
          <w:color w:val="6F6F6F"/>
          <w:u w:val="single"/>
        </w:rPr>
        <w:br/>
      </w:r>
      <w:r>
        <w:rPr>
          <w:rFonts w:ascii="Tahoma" w:hAnsi="Tahoma" w:cs="Tahoma"/>
          <w:color w:val="6F6F6F"/>
          <w:shd w:val="clear" w:color="auto" w:fill="FEFEFE"/>
        </w:rPr>
        <w:t>7.2.1 Recomendações para classificação</w:t>
      </w:r>
      <w:r>
        <w:rPr>
          <w:rFonts w:ascii="Tahoma" w:hAnsi="Tahoma" w:cs="Tahoma"/>
          <w:color w:val="6F6F6F"/>
        </w:rPr>
        <w:br/>
      </w:r>
      <w:r>
        <w:rPr>
          <w:rFonts w:ascii="Tahoma" w:hAnsi="Tahoma" w:cs="Tahoma"/>
          <w:color w:val="6F6F6F"/>
        </w:rPr>
        <w:br/>
      </w:r>
      <w:r>
        <w:rPr>
          <w:rFonts w:ascii="Tahoma" w:hAnsi="Tahoma" w:cs="Tahoma"/>
          <w:color w:val="6F6F6F"/>
          <w:shd w:val="clear" w:color="auto" w:fill="FEFEFE"/>
        </w:rPr>
        <w:t>Controle</w:t>
      </w:r>
      <w:r>
        <w:rPr>
          <w:rFonts w:ascii="Tahoma" w:hAnsi="Tahoma" w:cs="Tahoma"/>
          <w:color w:val="6F6F6F"/>
        </w:rPr>
        <w:br/>
      </w:r>
      <w:r>
        <w:rPr>
          <w:rFonts w:ascii="Tahoma" w:hAnsi="Tahoma" w:cs="Tahoma"/>
          <w:color w:val="6F6F6F"/>
        </w:rPr>
        <w:br/>
      </w:r>
      <w:r>
        <w:rPr>
          <w:rFonts w:ascii="Tahoma" w:hAnsi="Tahoma" w:cs="Tahoma"/>
          <w:color w:val="6F6F6F"/>
          <w:shd w:val="clear" w:color="auto" w:fill="FEFEFE"/>
        </w:rPr>
        <w:t>Convém que a informação seja classificada em termos do seu </w:t>
      </w:r>
      <w:r>
        <w:rPr>
          <w:rStyle w:val="Forte"/>
          <w:rFonts w:ascii="Tahoma" w:hAnsi="Tahoma" w:cs="Tahoma"/>
          <w:color w:val="6F6F6F"/>
          <w:shd w:val="clear" w:color="auto" w:fill="FEFEFE"/>
        </w:rPr>
        <w:t>valor, requisitos legais, sensibilidade e criticidade</w:t>
      </w:r>
      <w:r>
        <w:rPr>
          <w:rFonts w:ascii="Tahoma" w:hAnsi="Tahoma" w:cs="Tahoma"/>
          <w:color w:val="6F6F6F"/>
          <w:shd w:val="clear" w:color="auto" w:fill="FEFEFE"/>
        </w:rPr>
        <w:t> para a organização. </w:t>
      </w:r>
      <w:r>
        <w:rPr>
          <w:rFonts w:ascii="Tahoma" w:hAnsi="Tahoma" w:cs="Tahoma"/>
          <w:color w:val="6F6F6F"/>
        </w:rPr>
        <w:br/>
      </w:r>
      <w:r>
        <w:rPr>
          <w:rFonts w:ascii="Tahoma" w:hAnsi="Tahoma" w:cs="Tahoma"/>
          <w:color w:val="6F6F6F"/>
        </w:rPr>
        <w:br/>
      </w:r>
      <w:r>
        <w:rPr>
          <w:rStyle w:val="Forte"/>
          <w:rFonts w:ascii="Tahoma" w:hAnsi="Tahoma" w:cs="Tahoma"/>
          <w:color w:val="6F6F6F"/>
          <w:shd w:val="clear" w:color="auto" w:fill="FEFEFE"/>
        </w:rPr>
        <w:t>**Portanto</w:t>
      </w:r>
      <w:r>
        <w:rPr>
          <w:rFonts w:ascii="Tahoma" w:hAnsi="Tahoma" w:cs="Tahoma"/>
          <w:color w:val="6F6F6F"/>
          <w:shd w:val="clear" w:color="auto" w:fill="FEFEFE"/>
        </w:rPr>
        <w:t>, conforme o controle da norma, a informação não é classificada pelo seu tamanho.</w:t>
      </w:r>
    </w:p>
    <w:p w:rsidR="00246B8E" w:rsidRDefault="00246B8E" w:rsidP="00246B8E">
      <w:pPr>
        <w:shd w:val="clear" w:color="auto" w:fill="FEFEFE"/>
        <w:spacing w:after="0" w:line="240" w:lineRule="auto"/>
        <w:rPr>
          <w:rFonts w:ascii="Tahoma" w:hAnsi="Tahoma" w:cs="Tahoma"/>
          <w:color w:val="6F6F6F"/>
          <w:shd w:val="clear" w:color="auto" w:fill="FEFEFE"/>
        </w:rPr>
      </w:pPr>
    </w:p>
    <w:p w:rsidR="00246B8E" w:rsidRDefault="00246B8E" w:rsidP="00246B8E">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Opções de Tratamento do Risco:</w:t>
      </w:r>
    </w:p>
    <w:p w:rsidR="00246B8E" w:rsidRDefault="00246B8E" w:rsidP="00246B8E">
      <w:pPr>
        <w:pStyle w:val="NormalWeb"/>
        <w:shd w:val="clear" w:color="auto" w:fill="FFFFFF"/>
        <w:spacing w:before="0" w:beforeAutospacing="0" w:after="0" w:afterAutospacing="0"/>
        <w:rPr>
          <w:rFonts w:ascii="Helvetica" w:hAnsi="Helvetica"/>
          <w:color w:val="343A40"/>
          <w:sz w:val="21"/>
          <w:szCs w:val="21"/>
        </w:rPr>
      </w:pPr>
    </w:p>
    <w:p w:rsidR="00246B8E" w:rsidRDefault="00246B8E" w:rsidP="00246B8E">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Transferir o Risco:</w:t>
      </w:r>
      <w:r>
        <w:rPr>
          <w:rFonts w:ascii="Helvetica" w:hAnsi="Helvetica"/>
          <w:color w:val="343A40"/>
          <w:sz w:val="21"/>
          <w:szCs w:val="21"/>
        </w:rPr>
        <w:t> transferir o risco para outra entidade</w:t>
      </w:r>
    </w:p>
    <w:p w:rsidR="00246B8E" w:rsidRDefault="00246B8E" w:rsidP="00246B8E">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Evitar o Risco:</w:t>
      </w:r>
      <w:r>
        <w:rPr>
          <w:rFonts w:ascii="Helvetica" w:hAnsi="Helvetica"/>
          <w:color w:val="343A40"/>
          <w:sz w:val="21"/>
          <w:szCs w:val="21"/>
        </w:rPr>
        <w:t> que a atividade ou condição que dá origem ao risco seja evitada.</w:t>
      </w:r>
    </w:p>
    <w:p w:rsidR="00246B8E" w:rsidRDefault="00246B8E" w:rsidP="00246B8E">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Reduzir o Risco:</w:t>
      </w:r>
      <w:r>
        <w:rPr>
          <w:rFonts w:ascii="Helvetica" w:hAnsi="Helvetica"/>
          <w:color w:val="343A40"/>
          <w:sz w:val="21"/>
          <w:szCs w:val="21"/>
        </w:rPr>
        <w:t> reduzir o nível de risco através da seleção de controles.</w:t>
      </w:r>
    </w:p>
    <w:p w:rsidR="00246B8E" w:rsidRDefault="00246B8E" w:rsidP="00246B8E">
      <w:pPr>
        <w:pStyle w:val="NormalWeb"/>
        <w:numPr>
          <w:ilvl w:val="0"/>
          <w:numId w:val="2"/>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Reter o Risco: </w:t>
      </w:r>
      <w:r>
        <w:rPr>
          <w:rFonts w:ascii="Helvetica" w:hAnsi="Helvetica"/>
          <w:color w:val="343A40"/>
          <w:sz w:val="21"/>
          <w:szCs w:val="21"/>
        </w:rPr>
        <w:t>a retenção do risco é realizada com base na avaliação dos riscos.</w:t>
      </w:r>
    </w:p>
    <w:p w:rsidR="00246B8E" w:rsidRDefault="00246B8E" w:rsidP="00246B8E">
      <w:pPr>
        <w:pStyle w:val="NormalWeb"/>
        <w:shd w:val="clear" w:color="auto" w:fill="FFFFFF"/>
        <w:spacing w:before="0" w:beforeAutospacing="0" w:after="0" w:afterAutospacing="0"/>
        <w:rPr>
          <w:rFonts w:ascii="Helvetica" w:hAnsi="Helvetica"/>
          <w:color w:val="343A40"/>
          <w:sz w:val="21"/>
          <w:szCs w:val="21"/>
        </w:rPr>
      </w:pPr>
    </w:p>
    <w:p w:rsidR="00246B8E" w:rsidRDefault="00246B8E" w:rsidP="00246B8E">
      <w:pPr>
        <w:pStyle w:val="NormalWeb"/>
        <w:shd w:val="clear" w:color="auto" w:fill="FFFFFF"/>
        <w:spacing w:before="0" w:beforeAutospacing="0" w:after="0" w:afterAutospacing="0"/>
        <w:rPr>
          <w:rStyle w:val="Forte"/>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Políticas para segurança da informação</w:t>
      </w:r>
      <w:r>
        <w:rPr>
          <w:rFonts w:ascii="Helvetica" w:hAnsi="Helvetica"/>
          <w:color w:val="343A40"/>
          <w:sz w:val="21"/>
          <w:szCs w:val="21"/>
        </w:rPr>
        <w:br/>
      </w:r>
      <w:r>
        <w:rPr>
          <w:rFonts w:ascii="Helvetica" w:hAnsi="Helvetica"/>
          <w:color w:val="343A40"/>
          <w:sz w:val="21"/>
          <w:szCs w:val="21"/>
        </w:rPr>
        <w:br/>
      </w:r>
      <w:r>
        <w:rPr>
          <w:rFonts w:ascii="Helvetica" w:hAnsi="Helvetica"/>
          <w:color w:val="343A40"/>
          <w:sz w:val="21"/>
          <w:szCs w:val="21"/>
          <w:shd w:val="clear" w:color="auto" w:fill="FFFFFF"/>
        </w:rPr>
        <w:t>Controle: Convém que um conjunto de políticas de segurança da informação seja definido, aprovado pela direção, publicado e </w:t>
      </w:r>
      <w:r>
        <w:rPr>
          <w:rStyle w:val="Forte"/>
          <w:rFonts w:ascii="Helvetica" w:hAnsi="Helvetica"/>
          <w:color w:val="343A40"/>
          <w:sz w:val="21"/>
          <w:szCs w:val="21"/>
          <w:shd w:val="clear" w:color="auto" w:fill="FFFFFF"/>
        </w:rPr>
        <w:t>comunicado para todos os funcionários e partes externas relevantes.</w:t>
      </w:r>
    </w:p>
    <w:p w:rsidR="00246B8E" w:rsidRDefault="00246B8E" w:rsidP="00246B8E">
      <w:pPr>
        <w:pStyle w:val="NormalWeb"/>
        <w:shd w:val="clear" w:color="auto" w:fill="FFFFFF"/>
        <w:spacing w:before="0" w:beforeAutospacing="0" w:after="0" w:afterAutospacing="0"/>
        <w:rPr>
          <w:rStyle w:val="Forte"/>
          <w:rFonts w:ascii="Helvetica" w:hAnsi="Helvetica"/>
          <w:color w:val="343A40"/>
          <w:sz w:val="21"/>
          <w:szCs w:val="21"/>
          <w:shd w:val="clear" w:color="auto" w:fill="FFFFFF"/>
        </w:rPr>
      </w:pPr>
    </w:p>
    <w:p w:rsidR="00246B8E" w:rsidRDefault="00246B8E" w:rsidP="00246B8E">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O risco de auditoria é uma função dos riscos de distorção relevante e do risco de detecção, a seguir discriminados:</w:t>
      </w:r>
    </w:p>
    <w:p w:rsidR="00246B8E" w:rsidRDefault="00246B8E" w:rsidP="00246B8E">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Risco de detecção:</w:t>
      </w:r>
      <w:r>
        <w:rPr>
          <w:rFonts w:ascii="Helvetica" w:hAnsi="Helvetica"/>
          <w:color w:val="343A40"/>
          <w:sz w:val="21"/>
          <w:szCs w:val="21"/>
        </w:rPr>
        <w:t> é o risco de que os procedimentos executados pelo auditor não detectem uma distorção potencialmente relevante, individualmente ou em conjunto com outras distorções.</w:t>
      </w:r>
    </w:p>
    <w:p w:rsidR="00246B8E" w:rsidRDefault="00246B8E" w:rsidP="00246B8E">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Risco de distorção relevante: </w:t>
      </w:r>
      <w:r>
        <w:rPr>
          <w:rFonts w:ascii="Helvetica" w:hAnsi="Helvetica"/>
          <w:color w:val="343A40"/>
          <w:sz w:val="21"/>
          <w:szCs w:val="21"/>
        </w:rPr>
        <w:t xml:space="preserve">é o risco de que as demonstrações contábeis contenham distorção relevante antes da auditoria. </w:t>
      </w:r>
      <w:r w:rsidR="00065173">
        <w:rPr>
          <w:rFonts w:ascii="Helvetica" w:hAnsi="Helvetica"/>
          <w:color w:val="343A40"/>
          <w:sz w:val="21"/>
          <w:szCs w:val="21"/>
        </w:rPr>
        <w:t>Consistem</w:t>
      </w:r>
      <w:r>
        <w:rPr>
          <w:rFonts w:ascii="Helvetica" w:hAnsi="Helvetica"/>
          <w:color w:val="343A40"/>
          <w:sz w:val="21"/>
          <w:szCs w:val="21"/>
        </w:rPr>
        <w:t xml:space="preserve"> em dois componentes, o risco inerente e o risco de controle:</w:t>
      </w:r>
    </w:p>
    <w:p w:rsidR="00246B8E" w:rsidRDefault="00246B8E" w:rsidP="00246B8E">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Risco inerente:</w:t>
      </w:r>
      <w:r>
        <w:rPr>
          <w:rFonts w:ascii="Helvetica" w:hAnsi="Helvetica"/>
          <w:color w:val="343A40"/>
          <w:sz w:val="21"/>
          <w:szCs w:val="21"/>
        </w:rPr>
        <w:t> é a suscetibilidade de uma afirmação a respeito de uma transação, saldo contábil ou divulgação, a uma distorção que possa ser relevante, individualmente ou em conjunto com outras distorções, antes de se considerar qualquer controle preexistente;</w:t>
      </w:r>
    </w:p>
    <w:p w:rsidR="00246B8E" w:rsidRDefault="00246B8E" w:rsidP="00246B8E">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Risco de controle:</w:t>
      </w:r>
      <w:r>
        <w:rPr>
          <w:rFonts w:ascii="Helvetica" w:hAnsi="Helvetica"/>
          <w:color w:val="343A40"/>
          <w:sz w:val="21"/>
          <w:szCs w:val="21"/>
        </w:rPr>
        <w:t> é o risco de que uma distorção não seja prevenida, detectada e corrigida tempestivamente pelo controle interno da entidade.</w:t>
      </w:r>
    </w:p>
    <w:p w:rsidR="00246B8E" w:rsidRDefault="00246B8E" w:rsidP="00246B8E">
      <w:pPr>
        <w:pStyle w:val="NormalWeb"/>
        <w:shd w:val="clear" w:color="auto" w:fill="FFFFFF"/>
        <w:spacing w:before="0" w:beforeAutospacing="0" w:after="0" w:afterAutospacing="0"/>
        <w:rPr>
          <w:rFonts w:ascii="Helvetica" w:hAnsi="Helvetica"/>
          <w:color w:val="343A40"/>
          <w:sz w:val="21"/>
          <w:szCs w:val="21"/>
        </w:rPr>
      </w:pPr>
    </w:p>
    <w:p w:rsidR="00CA5FBA" w:rsidRPr="00CA5FBA" w:rsidRDefault="0086439C" w:rsidP="00CA5FBA">
      <w:pPr>
        <w:shd w:val="clear" w:color="auto" w:fill="FFFFFF"/>
        <w:spacing w:after="0" w:line="240" w:lineRule="auto"/>
        <w:rPr>
          <w:rFonts w:ascii="Helvetica" w:eastAsia="Times New Roman" w:hAnsi="Helvetica" w:cs="Times New Roman"/>
          <w:color w:val="343A40"/>
          <w:sz w:val="21"/>
          <w:szCs w:val="21"/>
          <w:lang w:eastAsia="pt-BR"/>
        </w:rPr>
      </w:pPr>
      <w:r>
        <w:rPr>
          <w:rFonts w:ascii="Helvetica" w:eastAsia="Times New Roman" w:hAnsi="Helvetica" w:cs="Times New Roman"/>
          <w:color w:val="343A40"/>
          <w:sz w:val="21"/>
          <w:szCs w:val="21"/>
          <w:lang w:eastAsia="pt-BR"/>
        </w:rPr>
        <w:t xml:space="preserve">Na </w:t>
      </w:r>
      <w:r w:rsidR="00CA5FBA" w:rsidRPr="00CA5FBA">
        <w:rPr>
          <w:rFonts w:ascii="Helvetica" w:eastAsia="Times New Roman" w:hAnsi="Helvetica" w:cs="Times New Roman"/>
          <w:color w:val="343A40"/>
          <w:sz w:val="21"/>
          <w:szCs w:val="21"/>
          <w:lang w:eastAsia="pt-BR"/>
        </w:rPr>
        <w:t xml:space="preserve">NBR ISO/IEC 27002:2013, que os </w:t>
      </w:r>
      <w:proofErr w:type="gramStart"/>
      <w:r w:rsidR="00CA5FBA" w:rsidRPr="00CA5FBA">
        <w:rPr>
          <w:rFonts w:ascii="Helvetica" w:eastAsia="Times New Roman" w:hAnsi="Helvetica" w:cs="Times New Roman"/>
          <w:color w:val="343A40"/>
          <w:sz w:val="21"/>
          <w:szCs w:val="21"/>
          <w:lang w:eastAsia="pt-BR"/>
        </w:rPr>
        <w:t>3</w:t>
      </w:r>
      <w:proofErr w:type="gramEnd"/>
      <w:r w:rsidR="00CA5FBA" w:rsidRPr="00CA5FBA">
        <w:rPr>
          <w:rFonts w:ascii="Helvetica" w:eastAsia="Times New Roman" w:hAnsi="Helvetica" w:cs="Times New Roman"/>
          <w:color w:val="343A40"/>
          <w:sz w:val="21"/>
          <w:szCs w:val="21"/>
          <w:lang w:eastAsia="pt-BR"/>
        </w:rPr>
        <w:t xml:space="preserve"> objetivos de controle da seção </w:t>
      </w:r>
      <w:r w:rsidR="00CA5FBA" w:rsidRPr="00CA5FBA">
        <w:rPr>
          <w:rFonts w:ascii="Helvetica" w:eastAsia="Times New Roman" w:hAnsi="Helvetica" w:cs="Times New Roman"/>
          <w:b/>
          <w:bCs/>
          <w:color w:val="343A40"/>
          <w:sz w:val="21"/>
          <w:szCs w:val="21"/>
          <w:lang w:eastAsia="pt-BR"/>
        </w:rPr>
        <w:t>7 Segurança em Recursos Humanos</w:t>
      </w:r>
      <w:r w:rsidR="00CA5FBA" w:rsidRPr="00CA5FBA">
        <w:rPr>
          <w:rFonts w:ascii="Helvetica" w:eastAsia="Times New Roman" w:hAnsi="Helvetica" w:cs="Times New Roman"/>
          <w:color w:val="343A40"/>
          <w:sz w:val="21"/>
          <w:szCs w:val="21"/>
          <w:lang w:eastAsia="pt-BR"/>
        </w:rPr>
        <w:t> são justamente:</w:t>
      </w:r>
      <w:r w:rsidR="00CA5FBA" w:rsidRPr="00CA5FBA">
        <w:rPr>
          <w:rFonts w:ascii="Helvetica" w:eastAsia="Times New Roman" w:hAnsi="Helvetica" w:cs="Times New Roman"/>
          <w:color w:val="343A40"/>
          <w:sz w:val="21"/>
          <w:szCs w:val="21"/>
          <w:lang w:eastAsia="pt-BR"/>
        </w:rPr>
        <w:br/>
      </w: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b/>
          <w:bCs/>
          <w:color w:val="343A40"/>
          <w:sz w:val="21"/>
          <w:szCs w:val="21"/>
          <w:lang w:eastAsia="pt-BR"/>
        </w:rPr>
        <w:t>7.1 Antes da contratação </w:t>
      </w: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color w:val="343A40"/>
          <w:sz w:val="21"/>
          <w:szCs w:val="21"/>
          <w:lang w:eastAsia="pt-BR"/>
        </w:rPr>
        <w:t>Objetivo: Assegurar que </w:t>
      </w:r>
      <w:r w:rsidRPr="00CA5FBA">
        <w:rPr>
          <w:rFonts w:ascii="Helvetica" w:eastAsia="Times New Roman" w:hAnsi="Helvetica" w:cs="Times New Roman"/>
          <w:color w:val="343A40"/>
          <w:sz w:val="21"/>
          <w:szCs w:val="21"/>
          <w:u w:val="single"/>
          <w:lang w:eastAsia="pt-BR"/>
        </w:rPr>
        <w:t>funcionários e partes externas</w:t>
      </w:r>
      <w:r w:rsidRPr="00CA5FBA">
        <w:rPr>
          <w:rFonts w:ascii="Helvetica" w:eastAsia="Times New Roman" w:hAnsi="Helvetica" w:cs="Times New Roman"/>
          <w:color w:val="343A40"/>
          <w:sz w:val="21"/>
          <w:szCs w:val="21"/>
          <w:lang w:eastAsia="pt-BR"/>
        </w:rPr>
        <w:t> entendam suas responsabilidades e estejam em conformidade com os papéis para os quais eles foram selecionados. </w:t>
      </w: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b/>
          <w:bCs/>
          <w:color w:val="343A40"/>
          <w:sz w:val="21"/>
          <w:szCs w:val="21"/>
          <w:lang w:eastAsia="pt-BR"/>
        </w:rPr>
        <w:t>7.2 Durante a contratação </w:t>
      </w:r>
    </w:p>
    <w:p w:rsid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color w:val="343A40"/>
          <w:sz w:val="21"/>
          <w:szCs w:val="21"/>
          <w:lang w:eastAsia="pt-BR"/>
        </w:rPr>
        <w:t>Objetivo: Assegurar que os </w:t>
      </w:r>
      <w:r w:rsidRPr="00CA5FBA">
        <w:rPr>
          <w:rFonts w:ascii="Helvetica" w:eastAsia="Times New Roman" w:hAnsi="Helvetica" w:cs="Times New Roman"/>
          <w:color w:val="343A40"/>
          <w:sz w:val="21"/>
          <w:szCs w:val="21"/>
          <w:u w:val="single"/>
          <w:lang w:eastAsia="pt-BR"/>
        </w:rPr>
        <w:t>funcionários e partes externas</w:t>
      </w:r>
      <w:r w:rsidRPr="00CA5FBA">
        <w:rPr>
          <w:rFonts w:ascii="Helvetica" w:eastAsia="Times New Roman" w:hAnsi="Helvetica" w:cs="Times New Roman"/>
          <w:color w:val="343A40"/>
          <w:sz w:val="21"/>
          <w:szCs w:val="21"/>
          <w:lang w:eastAsia="pt-BR"/>
        </w:rPr>
        <w:t> estão conscientes e cumprem as suas responsabilidades pela segurança da informação. </w:t>
      </w:r>
    </w:p>
    <w:p w:rsidR="0086439C" w:rsidRPr="00CA5FBA" w:rsidRDefault="0086439C" w:rsidP="00CA5FBA">
      <w:pPr>
        <w:shd w:val="clear" w:color="auto" w:fill="FFFFFF"/>
        <w:spacing w:after="0" w:line="240" w:lineRule="auto"/>
        <w:rPr>
          <w:rFonts w:ascii="Helvetica" w:eastAsia="Times New Roman" w:hAnsi="Helvetica" w:cs="Times New Roman"/>
          <w:color w:val="343A40"/>
          <w:sz w:val="21"/>
          <w:szCs w:val="21"/>
          <w:lang w:eastAsia="pt-BR"/>
        </w:rPr>
      </w:pP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b/>
          <w:bCs/>
          <w:color w:val="343A40"/>
          <w:sz w:val="21"/>
          <w:szCs w:val="21"/>
          <w:lang w:eastAsia="pt-BR"/>
        </w:rPr>
        <w:lastRenderedPageBreak/>
        <w:t>7.3 Encerramento e mudança da contratação </w:t>
      </w:r>
    </w:p>
    <w:p w:rsidR="00CA5FBA" w:rsidRP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color w:val="343A40"/>
          <w:sz w:val="21"/>
          <w:szCs w:val="21"/>
          <w:lang w:eastAsia="pt-BR"/>
        </w:rPr>
        <w:t>Objetivo: Proteger os interesses da organização como parte do processo de mudança ou encerramento da contratação. </w:t>
      </w:r>
    </w:p>
    <w:p w:rsidR="00CA5FBA" w:rsidRDefault="00CA5FBA" w:rsidP="00CA5FBA">
      <w:pPr>
        <w:shd w:val="clear" w:color="auto" w:fill="FFFFFF"/>
        <w:spacing w:after="0" w:line="240" w:lineRule="auto"/>
        <w:rPr>
          <w:rFonts w:ascii="Helvetica" w:eastAsia="Times New Roman" w:hAnsi="Helvetica" w:cs="Times New Roman"/>
          <w:color w:val="343A40"/>
          <w:sz w:val="21"/>
          <w:szCs w:val="21"/>
          <w:lang w:eastAsia="pt-BR"/>
        </w:rPr>
      </w:pPr>
      <w:r w:rsidRPr="00CA5FBA">
        <w:rPr>
          <w:rFonts w:ascii="Helvetica" w:eastAsia="Times New Roman" w:hAnsi="Helvetica" w:cs="Times New Roman"/>
          <w:color w:val="343A40"/>
          <w:sz w:val="21"/>
          <w:szCs w:val="21"/>
          <w:lang w:eastAsia="pt-BR"/>
        </w:rPr>
        <w:t>Vale observar que esses objetivos de controles (assim como seus controles) estão presentes tanto na NBR ISO/IEC 27002:2007 como NBR ISO/IEC 27002:2013.</w:t>
      </w:r>
    </w:p>
    <w:p w:rsidR="0086439C" w:rsidRDefault="0086439C" w:rsidP="00CA5FBA">
      <w:pPr>
        <w:shd w:val="clear" w:color="auto" w:fill="FFFFFF"/>
        <w:spacing w:after="0" w:line="240" w:lineRule="auto"/>
        <w:rPr>
          <w:rFonts w:ascii="Helvetica" w:eastAsia="Times New Roman" w:hAnsi="Helvetica" w:cs="Times New Roman"/>
          <w:color w:val="343A40"/>
          <w:sz w:val="21"/>
          <w:szCs w:val="21"/>
          <w:lang w:eastAsia="pt-BR"/>
        </w:rPr>
      </w:pPr>
    </w:p>
    <w:p w:rsidR="0086439C" w:rsidRDefault="00920B90" w:rsidP="00CA5FBA">
      <w:pPr>
        <w:shd w:val="clear" w:color="auto" w:fill="FFFFFF"/>
        <w:spacing w:after="0" w:line="240" w:lineRule="auto"/>
        <w:rPr>
          <w:rFonts w:ascii="Helvetica" w:hAnsi="Helvetica"/>
          <w:color w:val="343A40"/>
          <w:sz w:val="21"/>
          <w:szCs w:val="21"/>
          <w:shd w:val="clear" w:color="auto" w:fill="FFFFFF"/>
        </w:rPr>
      </w:pPr>
      <w:r>
        <w:rPr>
          <w:rFonts w:ascii="Helvetica" w:hAnsi="Helvetica"/>
          <w:color w:val="343A40"/>
          <w:sz w:val="21"/>
          <w:szCs w:val="21"/>
          <w:shd w:val="clear" w:color="auto" w:fill="FFFFFF"/>
        </w:rPr>
        <w:t>O padrão AES utiliza apenas</w:t>
      </w:r>
      <w:r>
        <w:rPr>
          <w:rFonts w:ascii="Helvetica" w:hAnsi="Helvetica"/>
          <w:b/>
          <w:bCs/>
          <w:color w:val="343A40"/>
          <w:sz w:val="21"/>
          <w:szCs w:val="21"/>
          <w:u w:val="single"/>
          <w:shd w:val="clear" w:color="auto" w:fill="FFFFFF"/>
        </w:rPr>
        <w:t> blocos de 128 bits</w:t>
      </w:r>
      <w:r>
        <w:rPr>
          <w:rFonts w:ascii="Helvetica" w:hAnsi="Helvetica"/>
          <w:color w:val="343A40"/>
          <w:sz w:val="21"/>
          <w:szCs w:val="21"/>
          <w:shd w:val="clear" w:color="auto" w:fill="FFFFFF"/>
        </w:rPr>
        <w:t> e </w:t>
      </w:r>
      <w:r>
        <w:rPr>
          <w:rFonts w:ascii="Helvetica" w:hAnsi="Helvetica"/>
          <w:b/>
          <w:bCs/>
          <w:color w:val="343A40"/>
          <w:sz w:val="21"/>
          <w:szCs w:val="21"/>
          <w:u w:val="single"/>
          <w:shd w:val="clear" w:color="auto" w:fill="FFFFFF"/>
        </w:rPr>
        <w:t>chaves de 128, 192 e 256 bits</w:t>
      </w:r>
      <w:r>
        <w:rPr>
          <w:rFonts w:ascii="Helvetica" w:hAnsi="Helvetica"/>
          <w:color w:val="343A40"/>
          <w:sz w:val="21"/>
          <w:szCs w:val="21"/>
          <w:shd w:val="clear" w:color="auto" w:fill="FFFFFF"/>
        </w:rPr>
        <w:t>.</w:t>
      </w:r>
    </w:p>
    <w:p w:rsidR="00920B90" w:rsidRDefault="00920B90" w:rsidP="00CA5FBA">
      <w:pPr>
        <w:shd w:val="clear" w:color="auto" w:fill="FFFFFF"/>
        <w:spacing w:after="0" w:line="240" w:lineRule="auto"/>
        <w:rPr>
          <w:rFonts w:ascii="Helvetica" w:hAnsi="Helvetica"/>
          <w:color w:val="343A40"/>
          <w:sz w:val="21"/>
          <w:szCs w:val="21"/>
          <w:shd w:val="clear" w:color="auto" w:fill="FFFFFF"/>
        </w:rPr>
      </w:pPr>
    </w:p>
    <w:p w:rsidR="00920B90" w:rsidRDefault="00920B90" w:rsidP="00CA5FBA">
      <w:pPr>
        <w:shd w:val="clear" w:color="auto" w:fill="FFFFFF"/>
        <w:spacing w:after="0" w:line="240" w:lineRule="auto"/>
        <w:rPr>
          <w:rFonts w:ascii="Helvetica" w:hAnsi="Helvetica"/>
          <w:color w:val="343A40"/>
          <w:sz w:val="21"/>
          <w:szCs w:val="21"/>
          <w:shd w:val="clear" w:color="auto" w:fill="FFFFFF"/>
        </w:rPr>
      </w:pP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343A40"/>
          <w:sz w:val="21"/>
          <w:szCs w:val="21"/>
        </w:rPr>
        <w:t xml:space="preserve">ISO 27002 Seção 8 – </w:t>
      </w:r>
      <w:r w:rsidR="00065173">
        <w:rPr>
          <w:rStyle w:val="Forte"/>
          <w:rFonts w:ascii="Helvetica" w:hAnsi="Helvetica"/>
          <w:color w:val="343A40"/>
          <w:sz w:val="21"/>
          <w:szCs w:val="21"/>
        </w:rPr>
        <w:t>Segurança</w:t>
      </w:r>
      <w:r>
        <w:rPr>
          <w:rStyle w:val="Forte"/>
          <w:rFonts w:ascii="Helvetica" w:hAnsi="Helvetica"/>
          <w:color w:val="343A40"/>
          <w:sz w:val="21"/>
          <w:szCs w:val="21"/>
        </w:rPr>
        <w:t xml:space="preserve"> em recursos humanos</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Antes de realizar a contratação de um funcionário – ou mesmo de fornecedores – é importante que ele seja devidamente analisado, principalmente se for lidar com informações de caráter sigiloso. A intenção desta seção é mitigar o risco de roubo, fraude ou mau uso dos recursos. E quando o funcionário estiver trabalhando na empresa, ele deverá estar ciente das ameaças relativas à segurança da informação, bem como de suas responsabilidades e obrigações.</w:t>
      </w:r>
    </w:p>
    <w:p w:rsidR="00920B90" w:rsidRDefault="00920B90" w:rsidP="00920B90">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Segundo a ISO </w:t>
      </w:r>
      <w:proofErr w:type="gramStart"/>
      <w:r>
        <w:rPr>
          <w:rFonts w:ascii="Helvetica" w:hAnsi="Helvetica"/>
          <w:color w:val="343A40"/>
          <w:sz w:val="21"/>
          <w:szCs w:val="21"/>
        </w:rPr>
        <w:t>27001,</w:t>
      </w:r>
      <w:proofErr w:type="gramEnd"/>
      <w:r>
        <w:rPr>
          <w:rFonts w:ascii="Helvetica" w:hAnsi="Helvetica"/>
          <w:color w:val="343A40"/>
          <w:sz w:val="21"/>
          <w:szCs w:val="21"/>
        </w:rPr>
        <w:t>"4.3.1 Geral</w:t>
      </w:r>
    </w:p>
    <w:p w:rsidR="00920B90" w:rsidRDefault="00920B90" w:rsidP="00920B90">
      <w:pPr>
        <w:pStyle w:val="NormalWeb"/>
        <w:shd w:val="clear" w:color="auto" w:fill="FFFFFF"/>
        <w:spacing w:before="0" w:beforeAutospacing="0" w:after="0" w:afterAutospacing="0"/>
        <w:rPr>
          <w:rFonts w:ascii="Helvetica" w:hAnsi="Helvetica"/>
          <w:color w:val="343A40"/>
          <w:sz w:val="21"/>
          <w:szCs w:val="21"/>
        </w:rPr>
      </w:pPr>
    </w:p>
    <w:p w:rsidR="00920B90" w:rsidRDefault="00920B90" w:rsidP="00920B90">
      <w:pPr>
        <w:pStyle w:val="NormalWeb"/>
        <w:shd w:val="clear" w:color="auto" w:fill="FFFFFF"/>
        <w:spacing w:before="0" w:beforeAutospacing="0" w:after="0" w:afterAutospacing="0"/>
        <w:rPr>
          <w:rFonts w:ascii="Helvetica" w:hAnsi="Helvetica"/>
          <w:b/>
          <w:bCs/>
          <w:color w:val="343A40"/>
          <w:sz w:val="21"/>
          <w:szCs w:val="21"/>
        </w:rPr>
      </w:pPr>
      <w:r>
        <w:rPr>
          <w:rFonts w:ascii="Helvetica" w:hAnsi="Helvetica"/>
          <w:b/>
          <w:bCs/>
          <w:color w:val="343A40"/>
          <w:sz w:val="21"/>
          <w:szCs w:val="21"/>
        </w:rPr>
        <w:t>A documentação do SGSI deve incluir:</w:t>
      </w:r>
    </w:p>
    <w:p w:rsidR="00920B90" w:rsidRDefault="00920B90" w:rsidP="00920B90">
      <w:pPr>
        <w:pStyle w:val="NormalWeb"/>
        <w:shd w:val="clear" w:color="auto" w:fill="FFFFFF"/>
        <w:spacing w:before="0" w:beforeAutospacing="0" w:after="0" w:afterAutospacing="0"/>
        <w:rPr>
          <w:rFonts w:ascii="Helvetica" w:hAnsi="Helvetica"/>
          <w:color w:val="343A40"/>
          <w:sz w:val="21"/>
          <w:szCs w:val="21"/>
        </w:rPr>
      </w:pP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declarações</w:t>
      </w:r>
      <w:proofErr w:type="gramEnd"/>
      <w:r>
        <w:rPr>
          <w:rFonts w:ascii="Helvetica" w:hAnsi="Helvetica"/>
          <w:color w:val="343A40"/>
          <w:sz w:val="21"/>
          <w:szCs w:val="21"/>
        </w:rPr>
        <w:t xml:space="preserve"> documentadas da política (ver 4.2.1b)) e objetivos do SGSI;</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b/>
          <w:bCs/>
          <w:color w:val="343A40"/>
          <w:sz w:val="21"/>
          <w:szCs w:val="21"/>
        </w:rPr>
        <w:t>o</w:t>
      </w:r>
      <w:proofErr w:type="gramEnd"/>
      <w:r>
        <w:rPr>
          <w:rFonts w:ascii="Helvetica" w:hAnsi="Helvetica"/>
          <w:b/>
          <w:bCs/>
          <w:color w:val="343A40"/>
          <w:sz w:val="21"/>
          <w:szCs w:val="21"/>
        </w:rPr>
        <w:t xml:space="preserve"> escopo do SGSI</w:t>
      </w:r>
      <w:r>
        <w:rPr>
          <w:rFonts w:ascii="Helvetica" w:hAnsi="Helvetica"/>
          <w:color w:val="343A40"/>
          <w:sz w:val="21"/>
          <w:szCs w:val="21"/>
        </w:rPr>
        <w:t> (ver 4.2.1a));</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b/>
          <w:bCs/>
          <w:color w:val="343A40"/>
          <w:sz w:val="21"/>
          <w:szCs w:val="21"/>
          <w:u w:val="single"/>
        </w:rPr>
        <w:t>procedimentos</w:t>
      </w:r>
      <w:proofErr w:type="gramEnd"/>
      <w:r>
        <w:rPr>
          <w:rFonts w:ascii="Helvetica" w:hAnsi="Helvetica"/>
          <w:b/>
          <w:bCs/>
          <w:color w:val="343A40"/>
          <w:sz w:val="21"/>
          <w:szCs w:val="21"/>
          <w:u w:val="single"/>
        </w:rPr>
        <w:t xml:space="preserve"> e controles que apoiam o SGSI;</w:t>
      </w:r>
      <w:r>
        <w:rPr>
          <w:rFonts w:ascii="Helvetica" w:hAnsi="Helvetica"/>
          <w:b/>
          <w:bCs/>
          <w:color w:val="343A40"/>
          <w:sz w:val="21"/>
          <w:szCs w:val="21"/>
        </w:rPr>
        <w:t>    ( LETRA A )</w:t>
      </w:r>
    </w:p>
    <w:p w:rsidR="00920B90" w:rsidRDefault="00920B90" w:rsidP="00065173">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uma</w:t>
      </w:r>
      <w:proofErr w:type="gramEnd"/>
      <w:r>
        <w:rPr>
          <w:rFonts w:ascii="Helvetica" w:hAnsi="Helvetica"/>
          <w:color w:val="343A40"/>
          <w:sz w:val="21"/>
          <w:szCs w:val="21"/>
        </w:rPr>
        <w:t xml:space="preserve"> descrição da metodologia de análise/avaliação de riscos (ver 4.2.1c));</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b/>
          <w:bCs/>
          <w:color w:val="343A40"/>
          <w:sz w:val="21"/>
          <w:szCs w:val="21"/>
        </w:rPr>
        <w:t>o</w:t>
      </w:r>
      <w:proofErr w:type="gramEnd"/>
      <w:r>
        <w:rPr>
          <w:rFonts w:ascii="Helvetica" w:hAnsi="Helvetica"/>
          <w:b/>
          <w:bCs/>
          <w:color w:val="343A40"/>
          <w:sz w:val="21"/>
          <w:szCs w:val="21"/>
        </w:rPr>
        <w:t xml:space="preserve"> relatório de análise/avaliação de riscos </w:t>
      </w:r>
      <w:r>
        <w:rPr>
          <w:rFonts w:ascii="Helvetica" w:hAnsi="Helvetica"/>
          <w:color w:val="343A40"/>
          <w:sz w:val="21"/>
          <w:szCs w:val="21"/>
        </w:rPr>
        <w:t>(ver 4.2.1c) a 4.2.1g));</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b/>
          <w:bCs/>
          <w:color w:val="343A40"/>
          <w:sz w:val="21"/>
          <w:szCs w:val="21"/>
        </w:rPr>
        <w:t>o</w:t>
      </w:r>
      <w:proofErr w:type="gramEnd"/>
      <w:r>
        <w:rPr>
          <w:rFonts w:ascii="Helvetica" w:hAnsi="Helvetica"/>
          <w:b/>
          <w:bCs/>
          <w:color w:val="343A40"/>
          <w:sz w:val="21"/>
          <w:szCs w:val="21"/>
        </w:rPr>
        <w:t xml:space="preserve"> plano de tratamento de riscos</w:t>
      </w:r>
      <w:r>
        <w:rPr>
          <w:rFonts w:ascii="Helvetica" w:hAnsi="Helvetica"/>
          <w:color w:val="343A40"/>
          <w:sz w:val="21"/>
          <w:szCs w:val="21"/>
        </w:rPr>
        <w:t> (ver 4.2.2b));</w:t>
      </w:r>
    </w:p>
    <w:p w:rsidR="00920B90" w:rsidRDefault="00920B90" w:rsidP="00065173">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procedimentos</w:t>
      </w:r>
      <w:proofErr w:type="gramEnd"/>
      <w:r>
        <w:rPr>
          <w:rFonts w:ascii="Helvetica" w:hAnsi="Helvetica"/>
          <w:color w:val="343A40"/>
          <w:sz w:val="21"/>
          <w:szCs w:val="21"/>
        </w:rPr>
        <w:t xml:space="preserve"> documentados requeridos pela organização para assegurar o planejamento efetivo, a operação e o controle de seus processos de segurança de informação e para descrever como medir a eficácia dos controles (ver 4.2.3c));</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registros</w:t>
      </w:r>
      <w:proofErr w:type="gramEnd"/>
      <w:r>
        <w:rPr>
          <w:rFonts w:ascii="Helvetica" w:hAnsi="Helvetica"/>
          <w:color w:val="343A40"/>
          <w:sz w:val="21"/>
          <w:szCs w:val="21"/>
        </w:rPr>
        <w:t xml:space="preserve"> requeridos por esta Norma (ver 4.3.3); e</w:t>
      </w:r>
    </w:p>
    <w:p w:rsidR="00920B90" w:rsidRDefault="00920B90" w:rsidP="00920B90">
      <w:pPr>
        <w:pStyle w:val="NormalWeb"/>
        <w:numPr>
          <w:ilvl w:val="0"/>
          <w:numId w:val="4"/>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Declaração de Aplicabilidade.</w:t>
      </w:r>
    </w:p>
    <w:p w:rsidR="00920B90" w:rsidRDefault="00920B90" w:rsidP="00920B90">
      <w:pPr>
        <w:pStyle w:val="NormalWeb"/>
        <w:shd w:val="clear" w:color="auto" w:fill="FFFFFF"/>
        <w:spacing w:before="0" w:beforeAutospacing="0" w:after="0" w:afterAutospacing="0"/>
        <w:rPr>
          <w:rFonts w:ascii="Helvetica" w:hAnsi="Helvetica"/>
          <w:color w:val="343A40"/>
          <w:sz w:val="21"/>
          <w:szCs w:val="21"/>
        </w:rPr>
      </w:pPr>
    </w:p>
    <w:p w:rsidR="00920B90" w:rsidRDefault="00920B90" w:rsidP="00920B90">
      <w:pPr>
        <w:pStyle w:val="NormalWeb"/>
        <w:shd w:val="clear" w:color="auto" w:fill="FFFFFF"/>
        <w:spacing w:before="0" w:beforeAutospacing="0" w:after="0" w:afterAutospacing="0"/>
        <w:rPr>
          <w:rFonts w:ascii="Helvetica" w:hAnsi="Helvetica"/>
          <w:color w:val="343A40"/>
          <w:sz w:val="21"/>
          <w:szCs w:val="21"/>
        </w:rPr>
      </w:pP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Segundo a ISO 27002,</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b/>
          <w:bCs/>
          <w:color w:val="343A40"/>
          <w:sz w:val="21"/>
          <w:szCs w:val="21"/>
        </w:rPr>
        <w:t>15 Conformidade</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proofErr w:type="gramStart"/>
      <w:r>
        <w:rPr>
          <w:rFonts w:ascii="Helvetica" w:hAnsi="Helvetica"/>
          <w:color w:val="343A40"/>
          <w:sz w:val="21"/>
          <w:szCs w:val="21"/>
        </w:rPr>
        <w:t>15.1 Conformidade</w:t>
      </w:r>
      <w:proofErr w:type="gramEnd"/>
      <w:r>
        <w:rPr>
          <w:rFonts w:ascii="Helvetica" w:hAnsi="Helvetica"/>
          <w:color w:val="343A40"/>
          <w:sz w:val="21"/>
          <w:szCs w:val="21"/>
        </w:rPr>
        <w:t xml:space="preserve"> com requisitos legais</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b/>
          <w:bCs/>
          <w:color w:val="343A40"/>
          <w:sz w:val="21"/>
          <w:szCs w:val="21"/>
        </w:rPr>
        <w:t>Objetivo: Evitar violação de qualquer lei criminal ou civil, estatutos, regulamentações ou obrigações contratuais e de quaisquer requisitos de segurança da informação.</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15.1.1 Identificação da legislação vigente</w:t>
      </w:r>
    </w:p>
    <w:p w:rsidR="00920B90" w:rsidRDefault="00920B90" w:rsidP="00920B90">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u w:val="single"/>
        </w:rPr>
        <w:t>Controle</w:t>
      </w:r>
    </w:p>
    <w:p w:rsidR="0064504C" w:rsidRPr="00065173" w:rsidRDefault="00920B90" w:rsidP="00065173">
      <w:pPr>
        <w:pStyle w:val="NormalWeb"/>
        <w:shd w:val="clear" w:color="auto" w:fill="FFFFFF"/>
        <w:spacing w:before="0" w:beforeAutospacing="0" w:after="300" w:afterAutospacing="0"/>
        <w:rPr>
          <w:rFonts w:ascii="Helvetica" w:hAnsi="Helvetica"/>
          <w:color w:val="343A40"/>
          <w:sz w:val="21"/>
          <w:szCs w:val="21"/>
        </w:rPr>
      </w:pPr>
      <w:r>
        <w:rPr>
          <w:rFonts w:ascii="Helvetica" w:hAnsi="Helvetica"/>
          <w:b/>
          <w:bCs/>
          <w:color w:val="343A40"/>
          <w:sz w:val="21"/>
          <w:szCs w:val="21"/>
        </w:rPr>
        <w:t>Convém que todos os requisitos estatutários, regulamentares e contratuais relevantes</w:t>
      </w:r>
      <w:r>
        <w:rPr>
          <w:rFonts w:ascii="Helvetica" w:hAnsi="Helvetica"/>
          <w:color w:val="343A40"/>
          <w:sz w:val="21"/>
          <w:szCs w:val="21"/>
        </w:rPr>
        <w:t>, e o enfoque da organização para atender a esses requisitos, sejam explicitamente definidos, documentados e mantidos atualizados para cada sistema de informação da organização.</w:t>
      </w:r>
      <w:bookmarkStart w:id="0" w:name="_GoBack"/>
      <w:bookmarkEnd w:id="0"/>
    </w:p>
    <w:sectPr w:rsidR="0064504C" w:rsidRPr="000651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317A2"/>
    <w:multiLevelType w:val="hybridMultilevel"/>
    <w:tmpl w:val="963E3DEE"/>
    <w:lvl w:ilvl="0" w:tplc="04160017">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775FEE"/>
    <w:multiLevelType w:val="hybridMultilevel"/>
    <w:tmpl w:val="DD70D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A8D5131"/>
    <w:multiLevelType w:val="hybridMultilevel"/>
    <w:tmpl w:val="3AD66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8391F5E"/>
    <w:multiLevelType w:val="multilevel"/>
    <w:tmpl w:val="473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DE4EE3"/>
    <w:multiLevelType w:val="hybridMultilevel"/>
    <w:tmpl w:val="5AFE1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0A64ED7"/>
    <w:multiLevelType w:val="hybridMultilevel"/>
    <w:tmpl w:val="052492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4C"/>
    <w:rsid w:val="00065173"/>
    <w:rsid w:val="001C3A09"/>
    <w:rsid w:val="002105C5"/>
    <w:rsid w:val="00246B8E"/>
    <w:rsid w:val="00380443"/>
    <w:rsid w:val="00474A2C"/>
    <w:rsid w:val="0064504C"/>
    <w:rsid w:val="006832B9"/>
    <w:rsid w:val="00693EB2"/>
    <w:rsid w:val="00756E94"/>
    <w:rsid w:val="0086439C"/>
    <w:rsid w:val="008E008A"/>
    <w:rsid w:val="00920B90"/>
    <w:rsid w:val="009F7A67"/>
    <w:rsid w:val="00AD3F6F"/>
    <w:rsid w:val="00AE69D5"/>
    <w:rsid w:val="00CA5F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4504C"/>
    <w:rPr>
      <w:b/>
      <w:bCs/>
    </w:rPr>
  </w:style>
  <w:style w:type="character" w:styleId="nfase">
    <w:name w:val="Emphasis"/>
    <w:basedOn w:val="Fontepargpadro"/>
    <w:uiPriority w:val="20"/>
    <w:qFormat/>
    <w:rsid w:val="00AE69D5"/>
    <w:rPr>
      <w:i/>
      <w:iCs/>
    </w:rPr>
  </w:style>
  <w:style w:type="paragraph" w:styleId="NormalWeb">
    <w:name w:val="Normal (Web)"/>
    <w:basedOn w:val="Normal"/>
    <w:uiPriority w:val="99"/>
    <w:unhideWhenUsed/>
    <w:rsid w:val="00246B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4504C"/>
    <w:rPr>
      <w:b/>
      <w:bCs/>
    </w:rPr>
  </w:style>
  <w:style w:type="character" w:styleId="nfase">
    <w:name w:val="Emphasis"/>
    <w:basedOn w:val="Fontepargpadro"/>
    <w:uiPriority w:val="20"/>
    <w:qFormat/>
    <w:rsid w:val="00AE69D5"/>
    <w:rPr>
      <w:i/>
      <w:iCs/>
    </w:rPr>
  </w:style>
  <w:style w:type="paragraph" w:styleId="NormalWeb">
    <w:name w:val="Normal (Web)"/>
    <w:basedOn w:val="Normal"/>
    <w:uiPriority w:val="99"/>
    <w:unhideWhenUsed/>
    <w:rsid w:val="00246B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04653">
      <w:bodyDiv w:val="1"/>
      <w:marLeft w:val="0"/>
      <w:marRight w:val="0"/>
      <w:marTop w:val="0"/>
      <w:marBottom w:val="0"/>
      <w:divBdr>
        <w:top w:val="none" w:sz="0" w:space="0" w:color="auto"/>
        <w:left w:val="none" w:sz="0" w:space="0" w:color="auto"/>
        <w:bottom w:val="none" w:sz="0" w:space="0" w:color="auto"/>
        <w:right w:val="none" w:sz="0" w:space="0" w:color="auto"/>
      </w:divBdr>
    </w:div>
    <w:div w:id="476455073">
      <w:bodyDiv w:val="1"/>
      <w:marLeft w:val="0"/>
      <w:marRight w:val="0"/>
      <w:marTop w:val="0"/>
      <w:marBottom w:val="0"/>
      <w:divBdr>
        <w:top w:val="none" w:sz="0" w:space="0" w:color="auto"/>
        <w:left w:val="none" w:sz="0" w:space="0" w:color="auto"/>
        <w:bottom w:val="none" w:sz="0" w:space="0" w:color="auto"/>
        <w:right w:val="none" w:sz="0" w:space="0" w:color="auto"/>
      </w:divBdr>
    </w:div>
    <w:div w:id="605695021">
      <w:bodyDiv w:val="1"/>
      <w:marLeft w:val="0"/>
      <w:marRight w:val="0"/>
      <w:marTop w:val="0"/>
      <w:marBottom w:val="0"/>
      <w:divBdr>
        <w:top w:val="none" w:sz="0" w:space="0" w:color="auto"/>
        <w:left w:val="none" w:sz="0" w:space="0" w:color="auto"/>
        <w:bottom w:val="none" w:sz="0" w:space="0" w:color="auto"/>
        <w:right w:val="none" w:sz="0" w:space="0" w:color="auto"/>
      </w:divBdr>
    </w:div>
    <w:div w:id="897664299">
      <w:bodyDiv w:val="1"/>
      <w:marLeft w:val="0"/>
      <w:marRight w:val="0"/>
      <w:marTop w:val="0"/>
      <w:marBottom w:val="0"/>
      <w:divBdr>
        <w:top w:val="none" w:sz="0" w:space="0" w:color="auto"/>
        <w:left w:val="none" w:sz="0" w:space="0" w:color="auto"/>
        <w:bottom w:val="none" w:sz="0" w:space="0" w:color="auto"/>
        <w:right w:val="none" w:sz="0" w:space="0" w:color="auto"/>
      </w:divBdr>
    </w:div>
    <w:div w:id="983659825">
      <w:bodyDiv w:val="1"/>
      <w:marLeft w:val="0"/>
      <w:marRight w:val="0"/>
      <w:marTop w:val="0"/>
      <w:marBottom w:val="0"/>
      <w:divBdr>
        <w:top w:val="none" w:sz="0" w:space="0" w:color="auto"/>
        <w:left w:val="none" w:sz="0" w:space="0" w:color="auto"/>
        <w:bottom w:val="none" w:sz="0" w:space="0" w:color="auto"/>
        <w:right w:val="none" w:sz="0" w:space="0" w:color="auto"/>
      </w:divBdr>
    </w:div>
    <w:div w:id="1429545795">
      <w:bodyDiv w:val="1"/>
      <w:marLeft w:val="0"/>
      <w:marRight w:val="0"/>
      <w:marTop w:val="0"/>
      <w:marBottom w:val="0"/>
      <w:divBdr>
        <w:top w:val="none" w:sz="0" w:space="0" w:color="auto"/>
        <w:left w:val="none" w:sz="0" w:space="0" w:color="auto"/>
        <w:bottom w:val="none" w:sz="0" w:space="0" w:color="auto"/>
        <w:right w:val="none" w:sz="0" w:space="0" w:color="auto"/>
      </w:divBdr>
      <w:divsChild>
        <w:div w:id="1320839797">
          <w:marLeft w:val="0"/>
          <w:marRight w:val="0"/>
          <w:marTop w:val="75"/>
          <w:marBottom w:val="0"/>
          <w:divBdr>
            <w:top w:val="none" w:sz="0" w:space="0" w:color="auto"/>
            <w:left w:val="none" w:sz="0" w:space="0" w:color="auto"/>
            <w:bottom w:val="none" w:sz="0" w:space="0" w:color="auto"/>
            <w:right w:val="none" w:sz="0" w:space="0" w:color="auto"/>
          </w:divBdr>
        </w:div>
        <w:div w:id="760226680">
          <w:marLeft w:val="0"/>
          <w:marRight w:val="0"/>
          <w:marTop w:val="0"/>
          <w:marBottom w:val="0"/>
          <w:divBdr>
            <w:top w:val="none" w:sz="0" w:space="0" w:color="auto"/>
            <w:left w:val="none" w:sz="0" w:space="0" w:color="auto"/>
            <w:bottom w:val="none" w:sz="0" w:space="0" w:color="auto"/>
            <w:right w:val="none" w:sz="0" w:space="0" w:color="auto"/>
          </w:divBdr>
          <w:divsChild>
            <w:div w:id="1130902629">
              <w:marLeft w:val="0"/>
              <w:marRight w:val="0"/>
              <w:marTop w:val="0"/>
              <w:marBottom w:val="0"/>
              <w:divBdr>
                <w:top w:val="none" w:sz="0" w:space="0" w:color="auto"/>
                <w:left w:val="none" w:sz="0" w:space="0" w:color="auto"/>
                <w:bottom w:val="none" w:sz="0" w:space="0" w:color="auto"/>
                <w:right w:val="none" w:sz="0" w:space="0" w:color="auto"/>
              </w:divBdr>
            </w:div>
          </w:divsChild>
        </w:div>
        <w:div w:id="948198622">
          <w:marLeft w:val="0"/>
          <w:marRight w:val="0"/>
          <w:marTop w:val="0"/>
          <w:marBottom w:val="0"/>
          <w:divBdr>
            <w:top w:val="none" w:sz="0" w:space="0" w:color="auto"/>
            <w:left w:val="none" w:sz="0" w:space="0" w:color="auto"/>
            <w:bottom w:val="none" w:sz="0" w:space="0" w:color="auto"/>
            <w:right w:val="none" w:sz="0" w:space="0" w:color="auto"/>
          </w:divBdr>
        </w:div>
      </w:divsChild>
    </w:div>
    <w:div w:id="1571573012">
      <w:bodyDiv w:val="1"/>
      <w:marLeft w:val="0"/>
      <w:marRight w:val="0"/>
      <w:marTop w:val="0"/>
      <w:marBottom w:val="0"/>
      <w:divBdr>
        <w:top w:val="none" w:sz="0" w:space="0" w:color="auto"/>
        <w:left w:val="none" w:sz="0" w:space="0" w:color="auto"/>
        <w:bottom w:val="none" w:sz="0" w:space="0" w:color="auto"/>
        <w:right w:val="none" w:sz="0" w:space="0" w:color="auto"/>
      </w:divBdr>
      <w:divsChild>
        <w:div w:id="2001228111">
          <w:marLeft w:val="0"/>
          <w:marRight w:val="0"/>
          <w:marTop w:val="0"/>
          <w:marBottom w:val="0"/>
          <w:divBdr>
            <w:top w:val="none" w:sz="0" w:space="0" w:color="auto"/>
            <w:left w:val="none" w:sz="0" w:space="0" w:color="auto"/>
            <w:bottom w:val="none" w:sz="0" w:space="0" w:color="auto"/>
            <w:right w:val="none" w:sz="0" w:space="0" w:color="auto"/>
          </w:divBdr>
        </w:div>
      </w:divsChild>
    </w:div>
    <w:div w:id="16956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7557</TotalTime>
  <Pages>1</Pages>
  <Words>1129</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9</cp:revision>
  <dcterms:created xsi:type="dcterms:W3CDTF">2018-06-27T11:52:00Z</dcterms:created>
  <dcterms:modified xsi:type="dcterms:W3CDTF">2020-03-06T12:11:00Z</dcterms:modified>
</cp:coreProperties>
</file>