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7a1f2b"/>
          <w:spacing w:val="40"/>
          <w:sz w:val="30"/>
          <w:szCs w:val="30"/>
        </w:rPr>
        <w:t xml:space="preserve">ELITE FOUR CAPITAL</w:t>
      </w:r>
    </w:p>
    <w:p>
      <w:pPr>
        <w:spacing w:after="420"/>
        <w:jc w:val="center"/>
      </w:pPr>
      <w:r>
        <w:rPr>
          <w:color w:val="5b5346"/>
          <w:sz w:val="22"/>
          <w:szCs w:val="22"/>
        </w:rPr>
        <w:t xml:space="preserve">Political Event &amp; Relative-Value Desk</w:t>
      </w:r>
    </w:p>
    <w:p>
      <w:pPr>
        <w:spacing w:after="60"/>
        <w:jc w:val="center"/>
      </w:pPr>
      <w:r>
        <w:rPr>
          <w:b/>
          <w:bCs/>
          <w:color w:val="17121d"/>
          <w:sz w:val="38"/>
          <w:szCs w:val="38"/>
        </w:rPr>
        <w:t xml:space="preserve">Pricing, Arbitrage, Fees, and Timing in</w:t>
      </w:r>
    </w:p>
    <w:p>
      <w:pPr>
        <w:spacing w:after="300"/>
        <w:jc w:val="center"/>
      </w:pPr>
      <w:r>
        <w:rPr>
          <w:b/>
          <w:bCs/>
          <w:color w:val="17121d"/>
          <w:sz w:val="38"/>
          <w:szCs w:val="38"/>
        </w:rPr>
        <w:t xml:space="preserve">Binary Political Prediction Markets</w:t>
      </w:r>
    </w:p>
    <w:p>
      <w:pPr>
        <w:spacing w:after="60"/>
        <w:jc w:val="center"/>
      </w:pPr>
      <w:r>
        <w:rPr>
          <w:i/>
          <w:iCs/>
          <w:color w:val="5b5346"/>
          <w:sz w:val="22"/>
          <w:szCs w:val="22"/>
        </w:rPr>
        <w:t xml:space="preserve">A quantitative framework, applied to the 2028 Jon Ossoff complex</w:t>
      </w:r>
    </w:p>
    <w:p>
      <w:pPr>
        <w:spacing w:before="360"/>
        <w:jc w:val="center"/>
      </w:pPr>
      <w:r>
        <w:rPr>
          <w:color w:val="5b5346"/>
          <w:sz w:val="18"/>
          <w:szCs w:val="18"/>
        </w:rPr>
        <w:t xml:space="preserve">Research White Paper · Internal · July 2026</w:t>
      </w:r>
    </w:p>
    <w:p>
      <w:r>
        <w:br w:type="page"/>
      </w:r>
    </w:p>
    <w:p>
      <w:pPr>
        <w:pStyle w:val="Heading1"/>
        <w:spacing w:after="100" w:before="240"/>
      </w:pPr>
      <w:r>
        <w:rPr>
          <w:color w:val="7a1f2b"/>
        </w:rPr>
        <w:t xml:space="preserve">1.  Executive summary</w:t>
      </w:r>
    </w:p>
    <w:p>
      <w:pPr>
        <w:spacing w:after="120" w:line="274"/>
      </w:pPr>
      <w:r>
        <w:t xml:space="preserve">A binary prediction-market contract pays $1 if an event occurs and $0 otherwise, so its price is a tradable estimate of the event's probability. This paper formalises how the desk prices, cross-checks, sizes, and executes these instruments, and where fees, venue choice, and settlement timing change the answer. The worked example is the cluster of markets on Senator </w:t>
      </w:r>
      <w:r>
        <w:rPr>
          <w:b/>
          <w:bCs/>
        </w:rPr>
        <w:t xml:space="preserve">Jon Ossoff</w:t>
      </w:r>
      <w:r>
        <w:t xml:space="preserve"> for 2028; all figures are live as of 16 July 2026.</w:t>
      </w:r>
    </w:p>
    <w:p>
      <w:pPr>
        <w:spacing w:after="120" w:line="274"/>
      </w:pPr>
      <w:r>
        <w:rPr>
          <w:b/>
          <w:bCs/>
        </w:rPr>
        <w:t xml:space="preserve">Five edges, in decreasing cleanliness: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hard no-arbitrage constraint. </w:t>
      </w:r>
      <w:r>
        <w:t xml:space="preserve">Winning the presidency requires the nomination, so P(presidency) ≤ P(nomination) always. A monitor flags any violation as a locked arbitrage or a data error.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cross-venue lock. </w:t>
      </w:r>
      <w:r>
        <w:t xml:space="preserve">The same contract prices differently on Polymarket and Kalshi. Long the cheaper venue's Yes and short the richer venue's No pays $1 in every state for less than $1 — a genuine arbitrage, net of fees and two-platform frictions.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Dutch book on the overround. </w:t>
      </w:r>
      <w:r>
        <w:t xml:space="preserve">Kalshi's candidate field sums to ~105%; buying No on every name locks ~5% minus fees. Polymarket links its field to ~100%, so no Dutch book there.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relative-value wedge. </w:t>
      </w:r>
      <w:r>
        <w:t xml:space="preserve">The two markets imply a conditional general-election win of ~52–60% if nominated — rich for a first-term senator. Long nomination / short presidency isolates the “nominated-but-loses” state cheaply.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timing edge. </w:t>
      </w:r>
      <w:r>
        <w:t xml:space="preserve">The nomination is decided on the primary calendar and re-rates to ~99¢ months before the November 2028 settlement — harvest the move, don't hold to term.</w:t>
      </w:r>
    </w:p>
    <w:p>
      <w:pPr>
        <w:spacing w:after="120" w:line="274"/>
      </w:pPr>
      <w:r>
        <w:rPr>
          <w:b/>
          <w:bCs/>
        </w:rPr>
        <w:t xml:space="preserve">Overriding caveats: </w:t>
      </w:r>
      <w:r>
        <w:t xml:space="preserve">all markets load on one factor (Ossoff's standing); edges are perishable (the Ossoff cross-venue gap reversed intraday on 16 July); and venue choice trades price against fees, tax cleanliness, and counterparty safety.</w:t>
      </w:r>
    </w:p>
    <w:p>
      <w:pPr>
        <w:pStyle w:val="Heading1"/>
        <w:spacing w:after="100" w:before="240"/>
      </w:pPr>
      <w:r>
        <w:rPr>
          <w:color w:val="7a1f2b"/>
        </w:rPr>
        <w:t xml:space="preserve">2.  Pricing framework</w:t>
      </w:r>
    </w:p>
    <w:p>
      <w:pPr>
        <w:spacing w:after="120" w:line="274"/>
      </w:pPr>
      <w:r>
        <w:t xml:space="preserve">For event E, a $1-on-Yes contract trading at q ∈ (0,1) satisfies, absent fees and time value, q = ℙ(E), the (risk-neutral) probability. Denote the desk's fair estimate p; the signed edge on a long-Yes is p − q. Live inputs: nomination q</w:t>
      </w:r>
      <w:r>
        <w:rPr>
          <w:vertAlign w:val="subscript"/>
        </w:rPr>
        <w:t xml:space="preserve">N</w:t>
      </w:r>
      <w:r>
        <w:t xml:space="preserve"> ≈ 0.14, presidency q</w:t>
      </w:r>
      <w:r>
        <w:rPr>
          <w:vertAlign w:val="subscript"/>
        </w:rPr>
        <w:t xml:space="preserve">P</w:t>
      </w:r>
      <w:r>
        <w:t xml:space="preserve"> ≈ 0.075, horizon τ ≈ 2.31 years.</w:t>
      </w:r>
    </w:p>
    <w:p>
      <w:pPr>
        <w:pStyle w:val="Heading1"/>
        <w:spacing w:after="100" w:before="240"/>
      </w:pPr>
      <w:r>
        <w:rPr>
          <w:color w:val="7a1f2b"/>
        </w:rPr>
        <w:t xml:space="preserve">3.  The no-arbitrage subset constraint</w:t>
      </w:r>
    </w:p>
    <w:p>
      <w:pPr>
        <w:spacing w:after="120" w:line="274"/>
      </w:pPr>
      <w:r>
        <w:t xml:space="preserve">Because P ⊆ N (Ossoff reaches the presidency only as nominee):</w:t>
      </w:r>
    </w:p>
    <w:p>
      <w:pPr>
        <w:spacing w:after="120" w:before="40"/>
        <w:jc w:val="center"/>
      </w:pPr>
      <w:r>
        <w:rPr>
          <w:rFonts w:ascii="Cambria" w:cs="Cambria" w:eastAsia="Cambria" w:hAnsi="Cambria"/>
          <w:i/>
          <w:iCs/>
          <w:sz w:val="23"/>
          <w:szCs w:val="23"/>
        </w:rPr>
        <w:t xml:space="preserve">qₚ ≤ qₙ.</w:t>
      </w:r>
    </w:p>
    <w:p>
      <w:pPr>
        <w:spacing w:after="120" w:line="274"/>
      </w:pPr>
      <w:r>
        <w:t xml:space="preserve">If violated, buy Yes-nomination and No-presidency: the pair returns ≥ $1 in every state, so any cost below $1 is riskless. The desk monitors this continuously as both a mispricing alarm and a data-integrity check — a stale feed once inverted it.</w:t>
      </w:r>
    </w:p>
    <w:p>
      <w:pPr>
        <w:pStyle w:val="Heading1"/>
        <w:spacing w:after="100" w:before="240"/>
      </w:pPr>
      <w:r>
        <w:rPr>
          <w:color w:val="7a1f2b"/>
        </w:rPr>
        <w:t xml:space="preserve">4.  Conditional decomposition and the wedge</w:t>
      </w:r>
    </w:p>
    <w:p>
      <w:pPr>
        <w:spacing w:after="120" w:line="274"/>
      </w:pPr>
      <w:r>
        <w:t xml:space="preserve">By definition qₚ = qₙ·c, so the market's implied conditional is c = qₚ/qₙ ≈ 0.52–0.60. For a first-term swing-state senator this is demanding (generic out-party nominee ≈ 0.50, lesser-known candidates run behind). The </w:t>
      </w:r>
      <w:r>
        <w:rPr>
          <w:b/>
          <w:bCs/>
        </w:rPr>
        <w:t xml:space="preserve">wedge</w:t>
      </w:r>
      <w:r>
        <w:t xml:space="preserve"> — long nomination, short presidency — isolates the difference set N \ P (“nominated but loses”), priced at w = qₙ − qₚ ≈ 5¢ against a modelled fair of pₙ(1 − ĉ) ≈ 6–8¢. Its residual exposure is to c alone, and it is hedged against Ossoff's overall trajectory.</w:t>
      </w:r>
    </w:p>
    <w:p>
      <w:pPr>
        <w:spacing w:after="120" w:line="274"/>
      </w:pPr>
      <w:r>
        <w:rPr>
          <w:b/>
          <w:bCs/>
        </w:rPr>
        <w:t xml:space="preserve">View sensitivity. </w:t>
      </w:r>
      <w:r>
        <w:t xml:space="preserve">If your estimate of c is </w:t>
      </w:r>
      <w:r>
        <w:rPr>
          <w:i/>
          <w:iCs/>
        </w:rPr>
        <w:t xml:space="preserve">above</w:t>
      </w:r>
      <w:r>
        <w:t xml:space="preserve"> the market's (e.g. you believe a strong nominee rides an anti-incumbent wave to the White House), the wedge is the wrong trade — buy the presidency directly at ~7¢ for the largest multiple.</w:t>
      </w:r>
    </w:p>
    <w:p>
      <w:pPr>
        <w:pStyle w:val="Heading1"/>
        <w:spacing w:after="100" w:before="240"/>
      </w:pPr>
      <w:r>
        <w:rPr>
          <w:color w:val="7a1f2b"/>
        </w:rPr>
        <w:t xml:space="preserve">5.  Cross-venue pricing: overround and fees</w:t>
      </w:r>
    </w:p>
    <w:p>
      <w:pPr>
        <w:spacing w:after="120" w:line="274"/>
      </w:pPr>
      <w:r>
        <w:t xml:space="preserve">The identical nomination event trades richer on Kalshi than Polymarket. Two distinct effects: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Overround. </w:t>
      </w:r>
      <w:r>
        <w:t xml:space="preserve">Kalshi lists each candidate as an independent market; the field sums to ~105% (a 5-point house margin), so every Yes runs rich. Polymarket's neg-risk linkage arbitrages the field to ~100%. Live snapshot (16 Jul): Ossoff 12¢ (Poly) vs 15¢ (Kalshi), Beshear 2.1¢ vs 3.8¢.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Clientele lean. </w:t>
      </w:r>
      <w:r>
        <w:t xml:space="preserve">On two-way partisan markets the gap flips by crowd: in 2024 Polymarket ran 5–8 points hotter for Trump than Kalshi.</w:t>
      </w:r>
    </w:p>
    <w:p>
      <w:pPr>
        <w:spacing w:after="120" w:line="274"/>
      </w:pPr>
      <w:r>
        <w:rPr>
          <w:b/>
          <w:bCs/>
        </w:rPr>
        <w:t xml:space="preserve">Fees. </w:t>
      </w:r>
      <w:r>
        <w:t xml:space="preserve">Both charge a taker fee of the form coeff × price × (1 − price); Kalshi's coefficient is 0.07, Polymarket's 0.04. Makers pay zero. As a share of stake the fee is coeff × (1 − price) — worst on cheap longshots:</w:t>
      </w:r>
    </w:p>
    <w:tbl>
      <w:tblPr>
        <w:tblW w:type="dxa" w:w="8800"/>
        <w:tblBorders>
          <w:top w:val="single" w:color="d9d0bd" w:sz="2"/>
          <w:left w:val="none"/>
          <w:bottom w:val="single" w:color="d9d0bd" w:sz="2"/>
          <w:right w:val="none"/>
          <w:insideH w:val="single" w:color="d9d0bd" w:sz="1"/>
          <w:insideV w:val="none"/>
        </w:tblBorders>
      </w:tblPr>
      <w:tblGrid>
        <w:gridCol w:w="3400"/>
        <w:gridCol w:w="2700"/>
        <w:gridCol w:w="2700"/>
      </w:tblGrid>
      <w:tr>
        <w:trPr>
          <w:tblHeader/>
        </w:trPr>
        <w:tc>
          <w:tcPr>
            <w:tcW w:type="dxa" w:w="34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Contract price</w:t>
            </w:r>
          </w:p>
        </w:tc>
        <w:tc>
          <w:tcPr>
            <w:tcW w:type="dxa" w:w="27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Kalshi fee (of stake)</w:t>
            </w:r>
          </w:p>
        </w:tc>
        <w:tc>
          <w:tcPr>
            <w:tcW w:type="dxa" w:w="27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Polymarket fee (of stake)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3¢ (deep longshot)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6.8%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3.9%</w:t>
            </w:r>
          </w:p>
        </w:tc>
      </w:tr>
      <w:tr>
        <w:trPr>
          <w:tblHeader w:val="false"/>
        </w:trPr>
        <w:tc>
          <w:tcPr>
            <w:tcW w:type="dxa" w:w="34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14¢ (Ossoff)</w:t>
            </w:r>
          </w:p>
        </w:tc>
        <w:tc>
          <w:tcPr>
            <w:tcW w:type="dxa" w:w="27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6.0%</w:t>
            </w:r>
          </w:p>
        </w:tc>
        <w:tc>
          <w:tcPr>
            <w:tcW w:type="dxa" w:w="27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3.4%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50¢ (toss-up)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3.5%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2.0%</w:t>
            </w:r>
          </w:p>
        </w:tc>
      </w:tr>
      <w:tr>
        <w:trPr>
          <w:tblHeader w:val="false"/>
        </w:trPr>
        <w:tc>
          <w:tcPr>
            <w:tcW w:type="dxa" w:w="34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90¢ (favorite)</w:t>
            </w:r>
          </w:p>
        </w:tc>
        <w:tc>
          <w:tcPr>
            <w:tcW w:type="dxa" w:w="27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0.7%</w:t>
            </w:r>
          </w:p>
        </w:tc>
        <w:tc>
          <w:tcPr>
            <w:tcW w:type="dxa" w:w="27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0.4%</w:t>
            </w:r>
          </w:p>
        </w:tc>
      </w:tr>
    </w:tbl>
    <w:p>
      <w:pPr>
        <w:spacing w:after="120" w:line="274"/>
      </w:pPr>
      <w:r>
        <w:rPr>
          <w:b/>
          <w:bCs/>
        </w:rPr>
        <w:t xml:space="preserve">All-in optimiser. </w:t>
      </w:r>
      <w:r>
        <w:t xml:space="preserve">Combining price and fee into an all-in cost q·(1 + coeff·(1 − q)), Polymarket usually wins for buying Yes on candidate longshots — but the edge is perishable. On 16 July, Ossoff's Polymarket price rallied 12¢ → 14.4¢ and the optimal venue flipped from Polymarket (all-in 12.4¢) to Kalshi (14.8¢) within the hour.</w:t>
      </w:r>
    </w:p>
    <w:p>
      <w:pPr>
        <w:pStyle w:val="Heading1"/>
        <w:spacing w:after="100" w:before="240"/>
      </w:pPr>
      <w:r>
        <w:rPr>
          <w:color w:val="7a1f2b"/>
        </w:rPr>
        <w:t xml:space="preserve">6.  The arbitrage scan</w:t>
      </w:r>
    </w:p>
    <w:p>
      <w:pPr>
        <w:spacing w:after="120" w:line="274"/>
      </w:pPr>
      <w:r>
        <w:rPr>
          <w:b/>
          <w:bCs/>
        </w:rPr>
        <w:t xml:space="preserve">Cross-venue lock. </w:t>
      </w:r>
      <w:r>
        <w:t xml:space="preserve">Buy Yes on the cheaper venue and No on the richer venue. One leg pays $1 in every outcome, at a cost of q</w:t>
      </w:r>
      <w:r>
        <w:rPr>
          <w:vertAlign w:val="subscript"/>
        </w:rPr>
        <w:t xml:space="preserve">cheap</w:t>
      </w:r>
      <w:r>
        <w:t xml:space="preserve"> + (1 − q</w:t>
      </w:r>
      <w:r>
        <w:rPr>
          <w:vertAlign w:val="subscript"/>
        </w:rPr>
        <w:t xml:space="preserve">rich</w:t>
      </w:r>
      <w:r>
        <w:t xml:space="preserve">), locking q</w:t>
      </w:r>
      <w:r>
        <w:rPr>
          <w:vertAlign w:val="subscript"/>
        </w:rPr>
        <w:t xml:space="preserve">rich</w:t>
      </w:r>
      <w:r>
        <w:t xml:space="preserve"> − q</w:t>
      </w:r>
      <w:r>
        <w:rPr>
          <w:vertAlign w:val="subscript"/>
        </w:rPr>
        <w:t xml:space="preserve">cheap</w:t>
      </w:r>
      <w:r>
        <w:t xml:space="preserve"> minus the two taker fees. It is a true arbitrage in payoff terms; the frictions are separate collateral on two platforms, fees, US-access rules, and the requirement that both venues resolve identically (same event, same source).</w:t>
      </w:r>
    </w:p>
    <w:p>
      <w:pPr>
        <w:spacing w:after="120" w:line="274"/>
      </w:pPr>
      <w:r>
        <w:rPr>
          <w:b/>
          <w:bCs/>
        </w:rPr>
        <w:t xml:space="preserve">Dutch book on the overround. </w:t>
      </w:r>
      <w:r>
        <w:t xml:space="preserve">With the Kalshi field at ~105%, buying No on all N candidates costs Σ(1 − qᵢ) = N − 1.05 and pays $1 on the N − 1 losers, for ~5% gross minus fees. Risks: incomplete fills across illiquid names, and a write-in / late entrant. Polymarket's ~100% field offers no such book.</w:t>
      </w:r>
    </w:p>
    <w:p>
      <w:pPr>
        <w:spacing w:after="120" w:line="274"/>
      </w:pPr>
      <w:r>
        <w:rPr>
          <w:i/>
          <w:iCs/>
        </w:rPr>
        <w:t xml:space="preserve">These are surfaced live on the dashboard's Arb tab; all are net-of-fee and flagged only when the edge clears frictions.</w:t>
      </w:r>
    </w:p>
    <w:p>
      <w:pPr>
        <w:pStyle w:val="Heading1"/>
        <w:spacing w:after="100" w:before="240"/>
      </w:pPr>
      <w:r>
        <w:rPr>
          <w:color w:val="7a1f2b"/>
        </w:rPr>
        <w:t xml:space="preserve">7.  Settlement timing — the convergence clock</w:t>
      </w:r>
    </w:p>
    <w:p>
      <w:pPr>
        <w:spacing w:after="120" w:line="274"/>
      </w:pPr>
      <w:r>
        <w:t xml:space="preserve">The nomination contract settles in November 2028 but is economically decided on the primary calendar (Feb–Jun 2028), converging to ~99¢ by the August convention. The desk therefore harvests the re-rating and exits early rather than holding to term — collapsing a 2.3-year lock into weeks. The presidency contract does </w:t>
      </w:r>
      <w:r>
        <w:rPr>
          <w:b/>
          <w:bCs/>
        </w:rPr>
        <w:t xml:space="preserve">not</w:t>
      </w:r>
      <w:r>
        <w:t xml:space="preserve"> converge early; it remains live to Election Night. A withdrawal announcement collapses the nomination Yes to a few cents in one step.</w:t>
      </w:r>
    </w:p>
    <w:p>
      <w:pPr>
        <w:pStyle w:val="Heading1"/>
        <w:spacing w:after="100" w:before="240"/>
      </w:pPr>
      <w:r>
        <w:rPr>
          <w:color w:val="7a1f2b"/>
        </w:rPr>
        <w:t xml:space="preserve">8.  Position sizing (Kelly)</w:t>
      </w:r>
    </w:p>
    <w:p>
      <w:pPr>
        <w:spacing w:after="120" w:line="274"/>
      </w:pPr>
      <w:r>
        <w:t xml:space="preserve">For a binary at price q with fair p, net odds b = (1 − q)/q and the growth-optimal fraction is f* = (p − q)/(1 − q). At q = 0.14, p = 0.15, f* ≈ 1.2% of bankroll at full Kelly; the desk sizes at </w:t>
      </w:r>
      <w:r>
        <w:rPr>
          <w:b/>
          <w:bCs/>
        </w:rPr>
        <w:t xml:space="preserve">quarter-Kelly</w:t>
      </w:r>
      <w:r>
        <w:t xml:space="preserve">. Because the three markets are highly correlated, the effective fraction is reduced further at the book level.</w:t>
      </w:r>
    </w:p>
    <w:p>
      <w:pPr>
        <w:pStyle w:val="Heading1"/>
        <w:spacing w:after="100" w:before="240"/>
      </w:pPr>
      <w:r>
        <w:rPr>
          <w:color w:val="7a1f2b"/>
        </w:rPr>
        <w:t xml:space="preserve">9.  Time value and the hold-vs-trade decision</w:t>
      </w:r>
    </w:p>
    <w:p>
      <w:pPr>
        <w:spacing w:after="120" w:line="274"/>
      </w:pPr>
      <w:r>
        <w:t xml:space="preserve">Collateral earns no yield, yet resolution is ~2.3 years out. Expected annualised return if held is (p/q)^(1/τ) − 1 ≈ 6–7%, only ~2–3% above cash and attached to a lumpy binary payoff — unattractive risk-adjusted. Combined with §7, the conclusion is to </w:t>
      </w:r>
      <w:r>
        <w:rPr>
          <w:b/>
          <w:bCs/>
        </w:rPr>
        <w:t xml:space="preserve">trade the re-rating, not hold to resolution</w:t>
      </w:r>
      <w:r>
        <w:t xml:space="preserve">; Polymarket's continuous order book makes early exit routine.</w:t>
      </w:r>
    </w:p>
    <w:p>
      <w:pPr>
        <w:pStyle w:val="Heading1"/>
        <w:spacing w:after="100" w:before="240"/>
      </w:pPr>
      <w:r>
        <w:rPr>
          <w:color w:val="7a1f2b"/>
        </w:rPr>
        <w:t xml:space="preserve">10.  Regulation, counterparty, and payout</w:t>
      </w:r>
    </w:p>
    <w:tbl>
      <w:tblPr>
        <w:tblW w:type="dxa" w:w="10600"/>
        <w:tblBorders>
          <w:top w:val="single" w:color="d9d0bd" w:sz="2"/>
          <w:left w:val="none"/>
          <w:bottom w:val="single" w:color="d9d0bd" w:sz="2"/>
          <w:right w:val="none"/>
          <w:insideH w:val="single" w:color="d9d0bd" w:sz="1"/>
          <w:insideV w:val="none"/>
        </w:tblBorders>
      </w:tblPr>
      <w:tblGrid>
        <w:gridCol w:w="2400"/>
        <w:gridCol w:w="4100"/>
        <w:gridCol w:w="4100"/>
      </w:tblGrid>
      <w:tr>
        <w:trPr>
          <w:tblHeader/>
        </w:trPr>
        <w:tc>
          <w:tcPr>
            <w:tcW w:type="dxa" w:w="24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41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Kalshi</w:t>
            </w:r>
          </w:p>
        </w:tc>
        <w:tc>
          <w:tcPr>
            <w:tcW w:type="dxa" w:w="41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Polymarket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Counterparty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CFTC-regulated clearinghouse (Kalshi Klear) guarantees payout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Smart contract + crowd; an oracle (UMA) resolves</w:t>
            </w:r>
          </w:p>
        </w:tc>
      </w:tr>
      <w:tr>
        <w:trPr>
          <w:tblHeader w:val="false"/>
        </w:trPr>
        <w:tc>
          <w:tcPr>
            <w:tcW w:type="dxa" w:w="24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Your funds</w:t>
            </w:r>
          </w:p>
        </w:tc>
        <w:tc>
          <w:tcPr>
            <w:tcW w:type="dxa" w:w="41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Segregated, bankruptcy-remote USD (JPMorgan, BNY Mellon)</w:t>
            </w:r>
          </w:p>
        </w:tc>
        <w:tc>
          <w:tcPr>
            <w:tcW w:type="dxa" w:w="41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Self-custodied USDC; no segregation, no insurance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Shutdown risk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4603f"/>
                <w:sz w:val="18"/>
                <w:szCs w:val="18"/>
              </w:rPr>
              <w:t xml:space="preserve">Lower — federally regulated; won its CFTC fight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7a1f2b"/>
                <w:sz w:val="18"/>
                <w:szCs w:val="18"/>
              </w:rPr>
              <w:t xml:space="preserve">Mixed — geo-block history + state actions (MN, NV)</w:t>
            </w:r>
          </w:p>
        </w:tc>
      </w:tr>
      <w:tr>
        <w:trPr>
          <w:tblHeader w:val="false"/>
        </w:trPr>
        <w:tc>
          <w:tcPr>
            <w:tcW w:type="dxa" w:w="24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Tax record</w:t>
            </w:r>
          </w:p>
        </w:tc>
        <w:tc>
          <w:tcPr>
            <w:tcW w:type="dxa" w:w="41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4603f"/>
                <w:sz w:val="18"/>
                <w:szCs w:val="18"/>
              </w:rPr>
              <w:t xml:space="preserve">USD; limited 1099s; cleaner</w:t>
            </w:r>
          </w:p>
        </w:tc>
        <w:tc>
          <w:tcPr>
            <w:tcW w:type="dxa" w:w="41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USDC = every trade also a crypto disposal</w:t>
            </w:r>
          </w:p>
        </w:tc>
      </w:tr>
    </w:tbl>
    <w:p>
      <w:pPr>
        <w:spacing w:after="120" w:line="274"/>
      </w:pPr>
      <w:r>
        <w:t xml:space="preserve">Neither is FDIC/SIPC insured. The ~2–3¢ Kalshi price premium is, in effect, a </w:t>
      </w:r>
      <w:r>
        <w:rPr>
          <w:b/>
          <w:bCs/>
        </w:rPr>
        <w:t xml:space="preserve">safety-and-tax tax</w:t>
      </w:r>
      <w:r>
        <w:t xml:space="preserve"> — you pay more for a guaranteed payout and cleaner records. Whether it is worth paying depends on size and holding period.</w:t>
      </w:r>
    </w:p>
    <w:p>
      <w:pPr>
        <w:pStyle w:val="Heading1"/>
        <w:spacing w:after="100" w:before="240"/>
      </w:pPr>
      <w:r>
        <w:rPr>
          <w:color w:val="7a1f2b"/>
        </w:rPr>
        <w:t xml:space="preserve">11.  Risk model and recommended positions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Single-factor concentration. </w:t>
      </w:r>
      <w:r>
        <w:t xml:space="preserve">All markets load on Ossoff's standing; treat as one factor, cap ≤ 5% of bankroll.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Perishability. </w:t>
      </w:r>
      <w:r>
        <w:t xml:space="preserve">Edges converge fast (the 16 July reversal); enter on dislocation, exit on re-rating.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Data quality. </w:t>
      </w:r>
      <w:r>
        <w:t xml:space="preserve">Per-market endpoints with timestamps; the aggregate cache was found 30 days stale and is not trusted for execution.</w:t>
      </w:r>
    </w:p>
    <w:tbl>
      <w:tblPr>
        <w:tblW w:type="dxa" w:w="8800"/>
        <w:tblBorders>
          <w:top w:val="single" w:color="d9d0bd" w:sz="2"/>
          <w:left w:val="none"/>
          <w:bottom w:val="single" w:color="d9d0bd" w:sz="2"/>
          <w:right w:val="none"/>
          <w:insideH w:val="single" w:color="d9d0bd" w:sz="1"/>
          <w:insideV w:val="none"/>
        </w:tblBorders>
      </w:tblPr>
      <w:tblGrid>
        <w:gridCol w:w="2600"/>
        <w:gridCol w:w="4300"/>
        <w:gridCol w:w="1900"/>
      </w:tblGrid>
      <w:tr>
        <w:trPr>
          <w:tblHeader/>
        </w:trPr>
        <w:tc>
          <w:tcPr>
            <w:tcW w:type="dxa" w:w="26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Trade</w:t>
            </w:r>
          </w:p>
        </w:tc>
        <w:tc>
          <w:tcPr>
            <w:tcW w:type="dxa" w:w="43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  <w:tc>
          <w:tcPr>
            <w:tcW w:type="dxa" w:w="1900"/>
            <w:shd w:fill="17121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Sizing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Long nomination (cheaper venue)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Overround + fee edge on Polymarket; harvest the primary re-rating.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¼-Kelly</w:t>
            </w:r>
          </w:p>
        </w:tc>
      </w:tr>
      <w:tr>
        <w:trPr>
          <w:tblHeader w:val="false"/>
        </w:trPr>
        <w:tc>
          <w:tcPr>
            <w:tcW w:type="dxa" w:w="26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Wedge: long Nom / short Pres</w:t>
            </w:r>
          </w:p>
        </w:tc>
        <w:tc>
          <w:tcPr>
            <w:tcW w:type="dxa" w:w="43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Fades a rich ~52–60% conditional; hedged to Ossoff's path.</w:t>
            </w:r>
          </w:p>
        </w:tc>
        <w:tc>
          <w:tcPr>
            <w:tcW w:type="dxa" w:w="19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Primary RV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Cross-venue lock / Dutch book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When the Arb tab shows a net-of-fee edge and both venues are accessible.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Opportunistic</w:t>
            </w:r>
          </w:p>
        </w:tc>
      </w:tr>
      <w:tr>
        <w:trPr>
          <w:tblHeader w:val="false"/>
        </w:trPr>
        <w:tc>
          <w:tcPr>
            <w:tcW w:type="dxa" w:w="26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Buy presidency (only if bullish)</w:t>
            </w:r>
          </w:p>
        </w:tc>
        <w:tc>
          <w:tcPr>
            <w:tcW w:type="dxa" w:w="43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For a “wins it all” view — biggest multiple, cheapest on Polymarket.</w:t>
            </w:r>
          </w:p>
        </w:tc>
        <w:tc>
          <w:tcPr>
            <w:tcW w:type="dxa" w:w="1900"/>
            <w:shd w:fill="f4ef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22222"/>
                <w:sz w:val="18"/>
                <w:szCs w:val="18"/>
              </w:rPr>
              <w:t xml:space="preserve">Directional</w:t>
            </w:r>
          </w:p>
        </w:tc>
      </w:tr>
    </w:tbl>
    <w:p>
      <w:pPr>
        <w:pStyle w:val="Heading1"/>
        <w:spacing w:after="100" w:before="240"/>
      </w:pPr>
      <w:r>
        <w:rPr>
          <w:color w:val="7a1f2b"/>
        </w:rPr>
        <w:t xml:space="preserve">Appendix — key formulas &amp; 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Price = probability; edge = p − q. No-arb: qₚ ≤ qₙ. Conditional c = qₚ/qₙ.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Wedge price qₙ − qₚ; fair pₙ(1 − ĉ). Kelly f* = (p − q)/(1 − q), ×¼.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Taker fee = coeff·q·(1 − q), coeff 0.07 (Kalshi) / 0.04 (Poly); all-in q·(1 + coeff·(1 − q)).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Cross-venue lock = q_rich − q_cheap − fees. Dutch book = Σ(1 − qᵢ) vs (N − 1) payout = overround − fees.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Annualised IRR if held = (p/q)^(1/τ) − 1; time-value hurdle (1 + r_f)^τ.</w:t>
      </w:r>
    </w:p>
    <w:p>
      <w:pPr>
        <w:spacing w:before="140"/>
      </w:pPr>
      <w:r>
        <w:rPr>
          <w:i/>
          <w:iCs/>
        </w:rPr>
        <w:t xml:space="preserve">Sources: Polymarket gamma API and Kalshi trade API (live, 16 Jul 2026); Kalshi and Polymarket fee schedules; Sherwood/CFTC on 2024 cross-venue divergence. Educational research; not investment advice.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5346"/>
        <w:sz w:val="15"/>
        <w:szCs w:val="15"/>
      </w:rPr>
      <w:t xml:space="preserve">Elite Four Capital · Internal · not investment advice · </w:t>
    </w:r>
    <w:r>
      <w:rPr>
        <w:color w:val="5b534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7a1f2b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2026-07-16T21:37:40.141Z</dcterms:created>
  <dcterms:modified xsi:type="dcterms:W3CDTF">2026-07-16T21:37:40.144Z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