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F5A66" w14:textId="452D5E45" w:rsidR="00925200" w:rsidRPr="005E489E" w:rsidRDefault="00925200" w:rsidP="00925200">
      <w:pPr>
        <w:jc w:val="center"/>
        <w:rPr>
          <w:rFonts w:ascii="Times New Roman" w:hAnsi="Times New Roman" w:cs="Times New Roman"/>
          <w:sz w:val="24"/>
          <w:szCs w:val="24"/>
        </w:rPr>
      </w:pPr>
      <w:r w:rsidRPr="005E489E">
        <w:rPr>
          <w:rFonts w:ascii="Times New Roman" w:hAnsi="Times New Roman" w:cs="Times New Roman"/>
          <w:sz w:val="24"/>
          <w:szCs w:val="24"/>
        </w:rPr>
        <w:t>BUS</w:t>
      </w:r>
      <w:r w:rsidR="00A8345D" w:rsidRPr="005E489E">
        <w:rPr>
          <w:rFonts w:ascii="Times New Roman" w:hAnsi="Times New Roman" w:cs="Times New Roman"/>
          <w:sz w:val="24"/>
          <w:szCs w:val="24"/>
        </w:rPr>
        <w:t>632</w:t>
      </w:r>
      <w:r w:rsidRPr="005E489E">
        <w:rPr>
          <w:rFonts w:ascii="Times New Roman" w:hAnsi="Times New Roman" w:cs="Times New Roman"/>
          <w:sz w:val="24"/>
          <w:szCs w:val="24"/>
        </w:rPr>
        <w:t xml:space="preserve">-30 UNIT </w:t>
      </w:r>
      <w:r w:rsidR="001A1CC9" w:rsidRPr="005E489E">
        <w:rPr>
          <w:rFonts w:ascii="Times New Roman" w:hAnsi="Times New Roman" w:cs="Times New Roman"/>
          <w:sz w:val="24"/>
          <w:szCs w:val="24"/>
        </w:rPr>
        <w:t>8</w:t>
      </w:r>
      <w:r w:rsidRPr="005E489E">
        <w:rPr>
          <w:rFonts w:ascii="Times New Roman" w:hAnsi="Times New Roman" w:cs="Times New Roman"/>
          <w:sz w:val="24"/>
          <w:szCs w:val="24"/>
        </w:rPr>
        <w:t xml:space="preserve"> ASSIGNMENT</w:t>
      </w:r>
    </w:p>
    <w:p w14:paraId="3833BC87" w14:textId="2B52E53F" w:rsidR="00603FA9" w:rsidRPr="005E489E" w:rsidRDefault="00603FA9" w:rsidP="00925200">
      <w:pPr>
        <w:jc w:val="center"/>
        <w:rPr>
          <w:rFonts w:ascii="Times New Roman" w:hAnsi="Times New Roman" w:cs="Times New Roman"/>
          <w:sz w:val="24"/>
          <w:szCs w:val="24"/>
        </w:rPr>
      </w:pPr>
      <w:r w:rsidRPr="005E489E">
        <w:rPr>
          <w:rFonts w:ascii="Times New Roman" w:hAnsi="Times New Roman" w:cs="Times New Roman"/>
          <w:sz w:val="24"/>
          <w:szCs w:val="24"/>
        </w:rPr>
        <w:t>WHITE PAPER</w:t>
      </w:r>
      <w:r w:rsidR="001A1CC9" w:rsidRPr="005E489E">
        <w:rPr>
          <w:rFonts w:ascii="Times New Roman" w:hAnsi="Times New Roman" w:cs="Times New Roman"/>
          <w:sz w:val="24"/>
          <w:szCs w:val="24"/>
        </w:rPr>
        <w:t xml:space="preserve"> ON THE UTX SALE OF PRATT &amp; WHITNEY</w:t>
      </w:r>
    </w:p>
    <w:p w14:paraId="36FBD2A6" w14:textId="77777777" w:rsidR="00925200" w:rsidRPr="005E489E" w:rsidRDefault="00925200" w:rsidP="00925200">
      <w:pPr>
        <w:jc w:val="center"/>
        <w:rPr>
          <w:rFonts w:ascii="Times New Roman" w:hAnsi="Times New Roman" w:cs="Times New Roman"/>
          <w:sz w:val="24"/>
          <w:szCs w:val="24"/>
        </w:rPr>
      </w:pPr>
    </w:p>
    <w:p w14:paraId="75CCEABD" w14:textId="77777777" w:rsidR="00925200" w:rsidRPr="005E489E" w:rsidRDefault="00925200" w:rsidP="00925200">
      <w:pPr>
        <w:jc w:val="center"/>
        <w:rPr>
          <w:rFonts w:ascii="Times New Roman" w:hAnsi="Times New Roman" w:cs="Times New Roman"/>
          <w:sz w:val="24"/>
          <w:szCs w:val="24"/>
        </w:rPr>
      </w:pPr>
    </w:p>
    <w:p w14:paraId="51565CF4" w14:textId="77777777" w:rsidR="00925200" w:rsidRPr="005E489E" w:rsidRDefault="00925200" w:rsidP="00925200">
      <w:pPr>
        <w:jc w:val="center"/>
        <w:rPr>
          <w:rFonts w:ascii="Times New Roman" w:hAnsi="Times New Roman" w:cs="Times New Roman"/>
          <w:sz w:val="24"/>
          <w:szCs w:val="24"/>
        </w:rPr>
      </w:pPr>
    </w:p>
    <w:p w14:paraId="7938E610" w14:textId="77777777" w:rsidR="00925200" w:rsidRPr="005E489E" w:rsidRDefault="00925200" w:rsidP="00925200">
      <w:pPr>
        <w:jc w:val="center"/>
        <w:rPr>
          <w:rFonts w:ascii="Times New Roman" w:hAnsi="Times New Roman" w:cs="Times New Roman"/>
          <w:sz w:val="24"/>
          <w:szCs w:val="24"/>
        </w:rPr>
      </w:pPr>
      <w:r w:rsidRPr="005E489E">
        <w:rPr>
          <w:rFonts w:ascii="Times New Roman" w:hAnsi="Times New Roman" w:cs="Times New Roman"/>
          <w:sz w:val="24"/>
          <w:szCs w:val="24"/>
        </w:rPr>
        <w:t>Submitted to</w:t>
      </w:r>
    </w:p>
    <w:p w14:paraId="16DEE375" w14:textId="77777777" w:rsidR="00925200" w:rsidRPr="005E489E" w:rsidRDefault="00925200" w:rsidP="00925200">
      <w:pPr>
        <w:jc w:val="center"/>
        <w:rPr>
          <w:rFonts w:ascii="Times New Roman" w:hAnsi="Times New Roman" w:cs="Times New Roman"/>
          <w:sz w:val="24"/>
          <w:szCs w:val="24"/>
        </w:rPr>
      </w:pPr>
    </w:p>
    <w:p w14:paraId="7FC8CBDA" w14:textId="648B8E65" w:rsidR="00925200" w:rsidRPr="005E489E" w:rsidRDefault="00925200" w:rsidP="00925200">
      <w:pPr>
        <w:jc w:val="center"/>
        <w:rPr>
          <w:rFonts w:ascii="Times New Roman" w:hAnsi="Times New Roman" w:cs="Times New Roman"/>
          <w:sz w:val="24"/>
          <w:szCs w:val="24"/>
        </w:rPr>
      </w:pPr>
      <w:r w:rsidRPr="005E489E">
        <w:rPr>
          <w:rFonts w:ascii="Times New Roman" w:hAnsi="Times New Roman" w:cs="Times New Roman"/>
          <w:sz w:val="24"/>
          <w:szCs w:val="24"/>
        </w:rPr>
        <w:t xml:space="preserve">Professor </w:t>
      </w:r>
      <w:r w:rsidR="00A8345D" w:rsidRPr="005E489E">
        <w:rPr>
          <w:rFonts w:ascii="Times New Roman" w:hAnsi="Times New Roman" w:cs="Times New Roman"/>
          <w:sz w:val="24"/>
          <w:szCs w:val="24"/>
        </w:rPr>
        <w:t>Heidi Nguyen</w:t>
      </w:r>
    </w:p>
    <w:p w14:paraId="55416DEB" w14:textId="77777777" w:rsidR="00925200" w:rsidRPr="005E489E" w:rsidRDefault="00925200" w:rsidP="00925200">
      <w:pPr>
        <w:jc w:val="center"/>
        <w:rPr>
          <w:rFonts w:ascii="Times New Roman" w:hAnsi="Times New Roman" w:cs="Times New Roman"/>
          <w:sz w:val="24"/>
          <w:szCs w:val="24"/>
        </w:rPr>
      </w:pPr>
      <w:r w:rsidRPr="005E489E">
        <w:rPr>
          <w:rFonts w:ascii="Times New Roman" w:hAnsi="Times New Roman" w:cs="Times New Roman"/>
          <w:sz w:val="24"/>
          <w:szCs w:val="24"/>
        </w:rPr>
        <w:t>Post University</w:t>
      </w:r>
    </w:p>
    <w:p w14:paraId="4A22B6CC" w14:textId="77777777" w:rsidR="00925200" w:rsidRPr="005E489E" w:rsidRDefault="00925200" w:rsidP="00925200">
      <w:pPr>
        <w:jc w:val="center"/>
        <w:rPr>
          <w:rFonts w:ascii="Times New Roman" w:hAnsi="Times New Roman" w:cs="Times New Roman"/>
          <w:sz w:val="24"/>
          <w:szCs w:val="24"/>
        </w:rPr>
      </w:pPr>
      <w:r w:rsidRPr="005E489E">
        <w:rPr>
          <w:rFonts w:ascii="Times New Roman" w:hAnsi="Times New Roman" w:cs="Times New Roman"/>
          <w:sz w:val="24"/>
          <w:szCs w:val="24"/>
        </w:rPr>
        <w:t>Waterbury, Connecticut</w:t>
      </w:r>
    </w:p>
    <w:p w14:paraId="30CB9590" w14:textId="77777777" w:rsidR="00925200" w:rsidRPr="005E489E" w:rsidRDefault="00925200" w:rsidP="00925200">
      <w:pPr>
        <w:jc w:val="center"/>
        <w:rPr>
          <w:rFonts w:ascii="Times New Roman" w:hAnsi="Times New Roman" w:cs="Times New Roman"/>
          <w:sz w:val="24"/>
          <w:szCs w:val="24"/>
        </w:rPr>
      </w:pPr>
    </w:p>
    <w:p w14:paraId="0D358CE8" w14:textId="36D1D42E" w:rsidR="00925200" w:rsidRPr="005E489E" w:rsidRDefault="001A1CC9" w:rsidP="00925200">
      <w:pPr>
        <w:jc w:val="center"/>
        <w:rPr>
          <w:rFonts w:ascii="Times New Roman" w:hAnsi="Times New Roman" w:cs="Times New Roman"/>
          <w:sz w:val="24"/>
          <w:szCs w:val="24"/>
        </w:rPr>
      </w:pPr>
      <w:r w:rsidRPr="005E489E">
        <w:rPr>
          <w:rFonts w:ascii="Times New Roman" w:hAnsi="Times New Roman" w:cs="Times New Roman"/>
          <w:sz w:val="24"/>
          <w:szCs w:val="24"/>
        </w:rPr>
        <w:t>September 19</w:t>
      </w:r>
      <w:r w:rsidR="00603FA9" w:rsidRPr="005E489E">
        <w:rPr>
          <w:rFonts w:ascii="Times New Roman" w:hAnsi="Times New Roman" w:cs="Times New Roman"/>
          <w:sz w:val="24"/>
          <w:szCs w:val="24"/>
        </w:rPr>
        <w:t>,</w:t>
      </w:r>
      <w:r w:rsidR="00A8345D" w:rsidRPr="005E489E">
        <w:rPr>
          <w:rFonts w:ascii="Times New Roman" w:hAnsi="Times New Roman" w:cs="Times New Roman"/>
          <w:sz w:val="24"/>
          <w:szCs w:val="24"/>
        </w:rPr>
        <w:t xml:space="preserve"> 2021</w:t>
      </w:r>
    </w:p>
    <w:p w14:paraId="5A6B60B8" w14:textId="77777777" w:rsidR="00925200" w:rsidRPr="005E489E" w:rsidRDefault="00925200" w:rsidP="00925200">
      <w:pPr>
        <w:jc w:val="center"/>
        <w:rPr>
          <w:rFonts w:ascii="Times New Roman" w:hAnsi="Times New Roman" w:cs="Times New Roman"/>
          <w:sz w:val="24"/>
          <w:szCs w:val="24"/>
        </w:rPr>
      </w:pPr>
    </w:p>
    <w:p w14:paraId="646A54C6" w14:textId="77777777" w:rsidR="00925200" w:rsidRPr="005E489E" w:rsidRDefault="00925200" w:rsidP="00925200">
      <w:pPr>
        <w:jc w:val="center"/>
        <w:rPr>
          <w:rFonts w:ascii="Times New Roman" w:hAnsi="Times New Roman" w:cs="Times New Roman"/>
          <w:sz w:val="24"/>
          <w:szCs w:val="24"/>
        </w:rPr>
      </w:pPr>
    </w:p>
    <w:p w14:paraId="5E431947" w14:textId="77777777" w:rsidR="00925200" w:rsidRPr="005E489E" w:rsidRDefault="00925200" w:rsidP="00925200">
      <w:pPr>
        <w:jc w:val="center"/>
        <w:rPr>
          <w:rFonts w:ascii="Times New Roman" w:hAnsi="Times New Roman" w:cs="Times New Roman"/>
          <w:sz w:val="24"/>
          <w:szCs w:val="24"/>
        </w:rPr>
      </w:pPr>
    </w:p>
    <w:p w14:paraId="4F2DA178" w14:textId="77777777" w:rsidR="00925200" w:rsidRPr="005E489E" w:rsidRDefault="00925200" w:rsidP="00925200">
      <w:pPr>
        <w:jc w:val="center"/>
        <w:rPr>
          <w:rFonts w:ascii="Times New Roman" w:hAnsi="Times New Roman" w:cs="Times New Roman"/>
          <w:sz w:val="24"/>
          <w:szCs w:val="24"/>
        </w:rPr>
      </w:pPr>
      <w:r w:rsidRPr="005E489E">
        <w:rPr>
          <w:rFonts w:ascii="Times New Roman" w:hAnsi="Times New Roman" w:cs="Times New Roman"/>
          <w:sz w:val="24"/>
          <w:szCs w:val="24"/>
        </w:rPr>
        <w:t>By</w:t>
      </w:r>
    </w:p>
    <w:p w14:paraId="249848EB" w14:textId="77777777" w:rsidR="00925200" w:rsidRPr="005E489E" w:rsidRDefault="00925200" w:rsidP="00925200">
      <w:pPr>
        <w:jc w:val="center"/>
        <w:rPr>
          <w:rFonts w:ascii="Times New Roman" w:hAnsi="Times New Roman" w:cs="Times New Roman"/>
          <w:sz w:val="24"/>
          <w:szCs w:val="24"/>
        </w:rPr>
      </w:pPr>
      <w:r w:rsidRPr="005E489E">
        <w:rPr>
          <w:rFonts w:ascii="Times New Roman" w:hAnsi="Times New Roman" w:cs="Times New Roman"/>
          <w:sz w:val="24"/>
          <w:szCs w:val="24"/>
        </w:rPr>
        <w:t>Gordon Elliott Williams</w:t>
      </w:r>
    </w:p>
    <w:p w14:paraId="01322E6D" w14:textId="77777777" w:rsidR="00925200" w:rsidRPr="005E489E" w:rsidRDefault="00925200" w:rsidP="00925200">
      <w:pPr>
        <w:jc w:val="both"/>
        <w:rPr>
          <w:rFonts w:ascii="Times New Roman" w:hAnsi="Times New Roman" w:cs="Times New Roman"/>
          <w:sz w:val="24"/>
          <w:szCs w:val="24"/>
        </w:rPr>
      </w:pPr>
      <w:r w:rsidRPr="005E489E">
        <w:rPr>
          <w:rFonts w:ascii="Times New Roman" w:hAnsi="Times New Roman" w:cs="Times New Roman"/>
          <w:sz w:val="24"/>
          <w:szCs w:val="24"/>
        </w:rPr>
        <w:br w:type="page"/>
      </w:r>
    </w:p>
    <w:p w14:paraId="1D634CF7" w14:textId="77777777" w:rsidR="00C43CBC" w:rsidRPr="005E489E" w:rsidRDefault="00C43CBC" w:rsidP="00C43CBC">
      <w:pPr>
        <w:rPr>
          <w:rFonts w:ascii="Times New Roman" w:hAnsi="Times New Roman" w:cs="Times New Roman"/>
          <w:color w:val="202124"/>
          <w:sz w:val="24"/>
          <w:szCs w:val="24"/>
          <w:shd w:val="clear" w:color="auto" w:fill="FFFFFF"/>
        </w:rPr>
      </w:pPr>
      <w:r w:rsidRPr="005E489E">
        <w:rPr>
          <w:rFonts w:ascii="Times New Roman" w:hAnsi="Times New Roman" w:cs="Times New Roman"/>
          <w:color w:val="202124"/>
          <w:sz w:val="24"/>
          <w:szCs w:val="24"/>
          <w:shd w:val="clear" w:color="auto" w:fill="FFFFFF"/>
        </w:rPr>
        <w:lastRenderedPageBreak/>
        <w:t>To properly evaluate the sale of Pratt &amp; Whitney, a division of UTX, I would need to evaluate its various financial statements using the primary metrics taught in previous units:</w:t>
      </w:r>
    </w:p>
    <w:p w14:paraId="4933C596" w14:textId="77777777" w:rsidR="00C43CBC" w:rsidRPr="005E489E" w:rsidRDefault="00C43CBC" w:rsidP="00C43CBC">
      <w:pPr>
        <w:pStyle w:val="ListParagraph"/>
        <w:numPr>
          <w:ilvl w:val="0"/>
          <w:numId w:val="11"/>
        </w:numPr>
        <w:ind w:left="1080"/>
        <w:rPr>
          <w:rFonts w:ascii="Times New Roman" w:hAnsi="Times New Roman" w:cs="Times New Roman"/>
          <w:color w:val="202124"/>
          <w:sz w:val="24"/>
          <w:szCs w:val="24"/>
          <w:shd w:val="clear" w:color="auto" w:fill="FFFFFF"/>
        </w:rPr>
      </w:pPr>
      <w:r w:rsidRPr="005E489E">
        <w:rPr>
          <w:rFonts w:ascii="Times New Roman" w:hAnsi="Times New Roman" w:cs="Times New Roman"/>
          <w:color w:val="202124"/>
          <w:sz w:val="24"/>
          <w:szCs w:val="24"/>
          <w:shd w:val="clear" w:color="auto" w:fill="FFFFFF"/>
        </w:rPr>
        <w:t>The Working Capital Ratio</w:t>
      </w:r>
    </w:p>
    <w:p w14:paraId="7C7DAF86" w14:textId="77777777" w:rsidR="00C43CBC" w:rsidRPr="005E489E" w:rsidRDefault="00C43CBC" w:rsidP="00C43CBC">
      <w:pPr>
        <w:pStyle w:val="ListParagraph"/>
        <w:numPr>
          <w:ilvl w:val="0"/>
          <w:numId w:val="11"/>
        </w:numPr>
        <w:ind w:left="1080"/>
        <w:rPr>
          <w:rFonts w:ascii="Times New Roman" w:hAnsi="Times New Roman" w:cs="Times New Roman"/>
          <w:color w:val="202124"/>
          <w:sz w:val="24"/>
          <w:szCs w:val="24"/>
          <w:shd w:val="clear" w:color="auto" w:fill="FFFFFF"/>
        </w:rPr>
      </w:pPr>
      <w:r w:rsidRPr="005E489E">
        <w:rPr>
          <w:rFonts w:ascii="Times New Roman" w:hAnsi="Times New Roman" w:cs="Times New Roman"/>
          <w:color w:val="202124"/>
          <w:sz w:val="24"/>
          <w:szCs w:val="24"/>
          <w:shd w:val="clear" w:color="auto" w:fill="FFFFFF"/>
        </w:rPr>
        <w:t>The Quick Ratio</w:t>
      </w:r>
    </w:p>
    <w:p w14:paraId="0D541F6A" w14:textId="77777777" w:rsidR="00C43CBC" w:rsidRPr="005E489E" w:rsidRDefault="00C43CBC" w:rsidP="00C43CBC">
      <w:pPr>
        <w:pStyle w:val="ListParagraph"/>
        <w:numPr>
          <w:ilvl w:val="0"/>
          <w:numId w:val="11"/>
        </w:numPr>
        <w:ind w:left="1080"/>
        <w:rPr>
          <w:rFonts w:ascii="Times New Roman" w:hAnsi="Times New Roman" w:cs="Times New Roman"/>
          <w:color w:val="202124"/>
          <w:sz w:val="24"/>
          <w:szCs w:val="24"/>
          <w:shd w:val="clear" w:color="auto" w:fill="FFFFFF"/>
        </w:rPr>
      </w:pPr>
      <w:r w:rsidRPr="005E489E">
        <w:rPr>
          <w:rFonts w:ascii="Times New Roman" w:hAnsi="Times New Roman" w:cs="Times New Roman"/>
          <w:color w:val="202124"/>
          <w:sz w:val="24"/>
          <w:szCs w:val="24"/>
          <w:shd w:val="clear" w:color="auto" w:fill="FFFFFF"/>
        </w:rPr>
        <w:t>The Earnings Per Share</w:t>
      </w:r>
    </w:p>
    <w:p w14:paraId="190DED8E" w14:textId="77777777" w:rsidR="00C43CBC" w:rsidRPr="005E489E" w:rsidRDefault="00C43CBC" w:rsidP="00C43CBC">
      <w:pPr>
        <w:pStyle w:val="ListParagraph"/>
        <w:numPr>
          <w:ilvl w:val="0"/>
          <w:numId w:val="11"/>
        </w:numPr>
        <w:ind w:left="1080"/>
        <w:rPr>
          <w:rFonts w:ascii="Times New Roman" w:hAnsi="Times New Roman" w:cs="Times New Roman"/>
          <w:color w:val="202124"/>
          <w:sz w:val="24"/>
          <w:szCs w:val="24"/>
          <w:shd w:val="clear" w:color="auto" w:fill="FFFFFF"/>
        </w:rPr>
      </w:pPr>
      <w:r w:rsidRPr="005E489E">
        <w:rPr>
          <w:rFonts w:ascii="Times New Roman" w:hAnsi="Times New Roman" w:cs="Times New Roman"/>
          <w:color w:val="202124"/>
          <w:sz w:val="24"/>
          <w:szCs w:val="24"/>
          <w:shd w:val="clear" w:color="auto" w:fill="FFFFFF"/>
        </w:rPr>
        <w:t>The Price-Earnings Ratio, and</w:t>
      </w:r>
    </w:p>
    <w:p w14:paraId="429707A5" w14:textId="77777777" w:rsidR="00C43CBC" w:rsidRPr="005E489E" w:rsidRDefault="00C43CBC" w:rsidP="005E489E">
      <w:pPr>
        <w:pStyle w:val="ListParagraph"/>
        <w:numPr>
          <w:ilvl w:val="0"/>
          <w:numId w:val="11"/>
        </w:numPr>
        <w:ind w:left="1080"/>
        <w:jc w:val="both"/>
        <w:rPr>
          <w:rFonts w:ascii="Times New Roman" w:hAnsi="Times New Roman" w:cs="Times New Roman"/>
          <w:color w:val="202124"/>
          <w:sz w:val="24"/>
          <w:szCs w:val="24"/>
          <w:shd w:val="clear" w:color="auto" w:fill="FFFFFF"/>
        </w:rPr>
      </w:pPr>
      <w:r w:rsidRPr="005E489E">
        <w:rPr>
          <w:rFonts w:ascii="Times New Roman" w:hAnsi="Times New Roman" w:cs="Times New Roman"/>
          <w:color w:val="202124"/>
          <w:sz w:val="24"/>
          <w:szCs w:val="24"/>
          <w:shd w:val="clear" w:color="auto" w:fill="FFFFFF"/>
        </w:rPr>
        <w:t>The Debt-Equity Ratio.</w:t>
      </w:r>
    </w:p>
    <w:p w14:paraId="49425385" w14:textId="77777777" w:rsidR="005E489E" w:rsidRPr="005E489E" w:rsidRDefault="005E489E" w:rsidP="005E489E">
      <w:pPr>
        <w:jc w:val="both"/>
        <w:rPr>
          <w:rFonts w:ascii="Times New Roman" w:hAnsi="Times New Roman" w:cs="Times New Roman"/>
          <w:color w:val="202124"/>
          <w:sz w:val="24"/>
          <w:szCs w:val="24"/>
          <w:shd w:val="clear" w:color="auto" w:fill="FFFFFF"/>
        </w:rPr>
      </w:pPr>
      <w:r w:rsidRPr="005E489E">
        <w:rPr>
          <w:rFonts w:ascii="Times New Roman" w:hAnsi="Times New Roman" w:cs="Times New Roman"/>
          <w:color w:val="202124"/>
          <w:sz w:val="24"/>
          <w:szCs w:val="24"/>
          <w:shd w:val="clear" w:color="auto" w:fill="FFFFFF"/>
        </w:rPr>
        <w:t>While different scholarly articles measure the weight of each ratio differently depending on the final desired outlook, the measure of liquidity is considered universally one of the most pertinent because it measures a businesses ability to mett its payment obligations when the terms make them due.  To calculate the Working Capital Ratio, you use the following formula:</w:t>
      </w:r>
    </w:p>
    <w:p w14:paraId="4519A1BC" w14:textId="77777777" w:rsidR="00B00148" w:rsidRDefault="005E489E" w:rsidP="005E489E">
      <w:pPr>
        <w:jc w:val="center"/>
        <w:rPr>
          <w:rFonts w:ascii="Times New Roman" w:hAnsi="Times New Roman" w:cs="Times New Roman"/>
          <w:color w:val="202124"/>
          <w:sz w:val="24"/>
          <w:szCs w:val="24"/>
          <w:shd w:val="clear" w:color="auto" w:fill="FFFFFF"/>
        </w:rPr>
      </w:pPr>
      <w:r w:rsidRPr="005E489E">
        <w:rPr>
          <w:rFonts w:ascii="Times New Roman" w:hAnsi="Times New Roman" w:cs="Times New Roman"/>
          <w:color w:val="202124"/>
          <w:sz w:val="24"/>
          <w:szCs w:val="24"/>
          <w:shd w:val="clear" w:color="auto" w:fill="FFFFFF"/>
        </w:rPr>
        <w:t xml:space="preserve">WORKING CAPITAL RATIO = </w:t>
      </w:r>
    </w:p>
    <w:p w14:paraId="7FC35847" w14:textId="42D01DF2" w:rsidR="005E489E" w:rsidRPr="005E489E" w:rsidRDefault="005E489E" w:rsidP="005E489E">
      <w:pPr>
        <w:jc w:val="center"/>
        <w:rPr>
          <w:rFonts w:ascii="Times New Roman" w:hAnsi="Times New Roman" w:cs="Times New Roman"/>
          <w:color w:val="202124"/>
          <w:sz w:val="24"/>
          <w:szCs w:val="24"/>
          <w:shd w:val="clear" w:color="auto" w:fill="FFFFFF"/>
        </w:rPr>
      </w:pPr>
      <w:r w:rsidRPr="005E489E">
        <w:rPr>
          <w:rFonts w:ascii="Times New Roman" w:hAnsi="Times New Roman" w:cs="Times New Roman"/>
          <w:color w:val="202124"/>
          <w:sz w:val="24"/>
          <w:szCs w:val="24"/>
          <w:shd w:val="clear" w:color="auto" w:fill="FFFFFF"/>
        </w:rPr>
        <w:t>TOTAL CURRENT ASSETS / TOTAL CURENT LIABILITIES</w:t>
      </w:r>
    </w:p>
    <w:p w14:paraId="26AC47DE" w14:textId="3F997EFD" w:rsidR="005E489E" w:rsidRDefault="005E489E" w:rsidP="005E489E">
      <w:pPr>
        <w:jc w:val="both"/>
        <w:rPr>
          <w:rFonts w:ascii="Times New Roman" w:hAnsi="Times New Roman" w:cs="Times New Roman"/>
          <w:color w:val="202124"/>
          <w:shd w:val="clear" w:color="auto" w:fill="FFFFFF"/>
        </w:rPr>
      </w:pPr>
      <w:r w:rsidRPr="005E489E">
        <w:rPr>
          <w:rFonts w:ascii="Times New Roman" w:hAnsi="Times New Roman" w:cs="Times New Roman"/>
          <w:color w:val="202124"/>
          <w:shd w:val="clear" w:color="auto" w:fill="FFFFFF"/>
        </w:rPr>
        <w:t>“</w:t>
      </w:r>
      <w:r w:rsidRPr="005E489E">
        <w:rPr>
          <w:rFonts w:ascii="Times New Roman" w:hAnsi="Times New Roman" w:cs="Times New Roman"/>
          <w:color w:val="202124"/>
          <w:shd w:val="clear" w:color="auto" w:fill="FFFFFF"/>
        </w:rPr>
        <w:t>Generally, a working capital ratio of less than one is taken as indicative of potential future liquidity problems, while a ratio of 1.5 to two is interpreted as indicating a company on solid financial ground in terms of liquidity. An increasingly higher ratio above two is not necessarily considered to be better</w:t>
      </w:r>
      <w:r w:rsidRPr="005E489E">
        <w:rPr>
          <w:rFonts w:ascii="Times New Roman" w:hAnsi="Times New Roman" w:cs="Times New Roman"/>
          <w:color w:val="202124"/>
          <w:shd w:val="clear" w:color="auto" w:fill="FFFFFF"/>
        </w:rPr>
        <w:t xml:space="preserve"> (Maverick, 2021)</w:t>
      </w:r>
      <w:r w:rsidRPr="005E489E">
        <w:rPr>
          <w:rFonts w:ascii="Times New Roman" w:hAnsi="Times New Roman" w:cs="Times New Roman"/>
          <w:color w:val="202124"/>
          <w:shd w:val="clear" w:color="auto" w:fill="FFFFFF"/>
        </w:rPr>
        <w:t>.</w:t>
      </w:r>
      <w:r w:rsidRPr="005E489E">
        <w:rPr>
          <w:rFonts w:ascii="Times New Roman" w:hAnsi="Times New Roman" w:cs="Times New Roman"/>
          <w:color w:val="202124"/>
          <w:shd w:val="clear" w:color="auto" w:fill="FFFFFF"/>
        </w:rPr>
        <w:t>”</w:t>
      </w:r>
      <w:r w:rsidR="00B00148">
        <w:rPr>
          <w:rFonts w:ascii="Times New Roman" w:hAnsi="Times New Roman" w:cs="Times New Roman"/>
          <w:color w:val="202124"/>
          <w:shd w:val="clear" w:color="auto" w:fill="FFFFFF"/>
        </w:rPr>
        <w:t xml:space="preserve">  When I review the Balance Sheet, using the date ranges from 2015 to 2018, my calculations show that without the sale, the projected Working Capital Ratio increased from 1.18 to 1.30.  But with the sale, the Working capital Ratio increases over that same time span from 1.30 to 2.19.  This would mean that while there would be a good amount of liquidity during the initial years, it would gradually increase to a borderline that may affect a return on assets.</w:t>
      </w:r>
    </w:p>
    <w:p w14:paraId="7EA97DFB" w14:textId="5A34E0D7" w:rsidR="00B00148" w:rsidRPr="007C5BF7" w:rsidRDefault="007C5BF7" w:rsidP="005E489E">
      <w:pPr>
        <w:jc w:val="both"/>
        <w:rPr>
          <w:rFonts w:ascii="Times New Roman" w:hAnsi="Times New Roman" w:cs="Times New Roman"/>
          <w:color w:val="202124"/>
          <w:sz w:val="24"/>
          <w:szCs w:val="24"/>
          <w:shd w:val="clear" w:color="auto" w:fill="FFFFFF"/>
        </w:rPr>
      </w:pPr>
      <w:r>
        <w:rPr>
          <w:rFonts w:ascii="Times New Roman" w:hAnsi="Times New Roman" w:cs="Times New Roman"/>
          <w:color w:val="202124"/>
          <w:shd w:val="clear" w:color="auto" w:fill="FFFFFF"/>
        </w:rPr>
        <w:lastRenderedPageBreak/>
        <w:t xml:space="preserve">Now the Quick Ratio is important also because it can measure whether of not a company can pay any current liabilities without needing outside financial assistance.  It can be considered a short-term liquidity test to simply ensure that they can pay their short-term debts.  The most common formula used </w:t>
      </w:r>
      <w:r w:rsidRPr="007C5BF7">
        <w:rPr>
          <w:rFonts w:ascii="Times New Roman" w:hAnsi="Times New Roman" w:cs="Times New Roman"/>
          <w:color w:val="202124"/>
          <w:sz w:val="24"/>
          <w:szCs w:val="24"/>
          <w:shd w:val="clear" w:color="auto" w:fill="FFFFFF"/>
        </w:rPr>
        <w:t>to calculate the quick ratio is as follows:</w:t>
      </w:r>
    </w:p>
    <w:p w14:paraId="39A28E58" w14:textId="0A38839C" w:rsidR="007C5BF7" w:rsidRPr="007C5BF7" w:rsidRDefault="007C5BF7" w:rsidP="005E489E">
      <w:pPr>
        <w:jc w:val="both"/>
        <w:rPr>
          <w:rFonts w:ascii="Times New Roman" w:hAnsi="Times New Roman" w:cs="Times New Roman"/>
          <w:color w:val="202124"/>
          <w:sz w:val="24"/>
          <w:szCs w:val="24"/>
          <w:shd w:val="clear" w:color="auto" w:fill="FFFFFF"/>
        </w:rPr>
      </w:pPr>
      <w:r w:rsidRPr="007C5BF7">
        <w:rPr>
          <w:rFonts w:ascii="Times New Roman" w:hAnsi="Times New Roman" w:cs="Times New Roman"/>
          <w:color w:val="202124"/>
          <w:sz w:val="24"/>
          <w:szCs w:val="24"/>
          <w:shd w:val="clear" w:color="auto" w:fill="FFFFFF"/>
        </w:rPr>
        <w:t>“</w:t>
      </w:r>
      <w:r w:rsidRPr="007C5BF7">
        <w:rPr>
          <w:rFonts w:ascii="Times New Roman" w:hAnsi="Times New Roman" w:cs="Times New Roman"/>
          <w:color w:val="202124"/>
          <w:sz w:val="24"/>
          <w:szCs w:val="24"/>
          <w:shd w:val="clear" w:color="auto" w:fill="FFFFFF"/>
        </w:rPr>
        <w:t>QR = (Current Assets - Inventories - Prepaid Expenses) / Current Liabilities.</w:t>
      </w:r>
    </w:p>
    <w:p w14:paraId="351DA707" w14:textId="0263DD1F" w:rsidR="007C5BF7" w:rsidRDefault="007C5BF7" w:rsidP="005E489E">
      <w:pPr>
        <w:jc w:val="both"/>
        <w:rPr>
          <w:rFonts w:ascii="Times New Roman" w:hAnsi="Times New Roman" w:cs="Times New Roman"/>
          <w:color w:val="121212"/>
          <w:sz w:val="24"/>
          <w:szCs w:val="24"/>
        </w:rPr>
      </w:pPr>
      <w:r w:rsidRPr="007C5BF7">
        <w:rPr>
          <w:rFonts w:ascii="Times New Roman" w:hAnsi="Times New Roman" w:cs="Times New Roman"/>
          <w:color w:val="121212"/>
          <w:sz w:val="24"/>
          <w:szCs w:val="24"/>
        </w:rPr>
        <w:t>A quick ratio greater than or equal to "1" indicates a company has enough liquid assets to meet its short-term obligations. What qualifies as a "good" quick ratio depends on a number of factors, including the industry, management’s risk tolerance and economic conditions</w:t>
      </w:r>
      <w:r w:rsidRPr="007C5BF7">
        <w:rPr>
          <w:rFonts w:ascii="Times New Roman" w:hAnsi="Times New Roman" w:cs="Times New Roman"/>
          <w:color w:val="121212"/>
          <w:sz w:val="24"/>
          <w:szCs w:val="24"/>
        </w:rPr>
        <w:t xml:space="preserve"> (Johnson, 2021)</w:t>
      </w:r>
      <w:r w:rsidRPr="007C5BF7">
        <w:rPr>
          <w:rFonts w:ascii="Times New Roman" w:hAnsi="Times New Roman" w:cs="Times New Roman"/>
          <w:color w:val="121212"/>
          <w:sz w:val="24"/>
          <w:szCs w:val="24"/>
        </w:rPr>
        <w:t>.</w:t>
      </w:r>
      <w:r w:rsidRPr="007C5BF7">
        <w:rPr>
          <w:rFonts w:ascii="Times New Roman" w:hAnsi="Times New Roman" w:cs="Times New Roman"/>
          <w:color w:val="121212"/>
          <w:sz w:val="24"/>
          <w:szCs w:val="24"/>
        </w:rPr>
        <w:t>”</w:t>
      </w:r>
      <w:r w:rsidR="00E33595">
        <w:rPr>
          <w:rFonts w:ascii="Times New Roman" w:hAnsi="Times New Roman" w:cs="Times New Roman"/>
          <w:color w:val="121212"/>
          <w:sz w:val="24"/>
          <w:szCs w:val="24"/>
        </w:rPr>
        <w:t xml:space="preserve">  Using that formula for my evaluation, I did not see any Prepaid Expenses on the Balance Sheet.  Minus that tidbit of information in the range dates from 2015 to 2018, the Quick Ratio increased from 0.82 to 0.91 (before the sale), but in contrast, once the sale happens, the Quick Ratio greatly increases from 0.91 to 1.57.  By definition, this sale of Pratt &amp; Whitney would greatly increase UTX’s liquidity and ability to meet any unforeseen short-term indebtedness.</w:t>
      </w:r>
    </w:p>
    <w:p w14:paraId="4C26AD5A" w14:textId="10B3C3E9" w:rsidR="00E33595" w:rsidRPr="009148E1" w:rsidRDefault="00A90744" w:rsidP="005E489E">
      <w:pPr>
        <w:jc w:val="both"/>
        <w:rPr>
          <w:rFonts w:ascii="Times New Roman" w:hAnsi="Times New Roman" w:cs="Times New Roman"/>
          <w:color w:val="202124"/>
          <w:sz w:val="24"/>
          <w:szCs w:val="24"/>
          <w:shd w:val="clear" w:color="auto" w:fill="FFFFFF"/>
        </w:rPr>
      </w:pPr>
      <w:r w:rsidRPr="009148E1">
        <w:rPr>
          <w:rFonts w:ascii="Times New Roman" w:hAnsi="Times New Roman" w:cs="Times New Roman"/>
          <w:color w:val="202124"/>
          <w:sz w:val="24"/>
          <w:szCs w:val="24"/>
          <w:shd w:val="clear" w:color="auto" w:fill="FFFFFF"/>
        </w:rPr>
        <w:t>As a potential investor, my primary concern would be would this sale make UTX more, or less profitable.  This can be answered with the Earnings Per Share ratio.  To find this ratio, the following formula is implemented:</w:t>
      </w:r>
    </w:p>
    <w:p w14:paraId="5B6F8D65" w14:textId="062C801A" w:rsidR="00A90744" w:rsidRPr="009148E1" w:rsidRDefault="00A90744" w:rsidP="00A90744">
      <w:pPr>
        <w:ind w:firstLine="0"/>
        <w:jc w:val="center"/>
        <w:rPr>
          <w:rFonts w:ascii="Times New Roman" w:hAnsi="Times New Roman" w:cs="Times New Roman"/>
          <w:color w:val="202124"/>
          <w:sz w:val="24"/>
          <w:szCs w:val="24"/>
          <w:shd w:val="clear" w:color="auto" w:fill="FFFFFF"/>
        </w:rPr>
      </w:pPr>
      <w:r w:rsidRPr="009148E1">
        <w:rPr>
          <w:rFonts w:ascii="Times New Roman" w:hAnsi="Times New Roman" w:cs="Times New Roman"/>
          <w:color w:val="202124"/>
          <w:sz w:val="24"/>
          <w:szCs w:val="24"/>
          <w:shd w:val="clear" w:color="auto" w:fill="FFFFFF"/>
        </w:rPr>
        <w:t>EPS = NET INCOME / THE NUMBER OF OUTSTANDING SHARES</w:t>
      </w:r>
    </w:p>
    <w:p w14:paraId="743B27E7" w14:textId="64260432" w:rsidR="00A90744" w:rsidRPr="009148E1" w:rsidRDefault="00A90744" w:rsidP="00BE4BBE">
      <w:pPr>
        <w:ind w:firstLine="0"/>
        <w:jc w:val="both"/>
        <w:rPr>
          <w:rFonts w:ascii="Times New Roman" w:hAnsi="Times New Roman" w:cs="Times New Roman"/>
          <w:color w:val="202124"/>
          <w:sz w:val="24"/>
          <w:szCs w:val="24"/>
          <w:shd w:val="clear" w:color="auto" w:fill="FFFFFF"/>
        </w:rPr>
      </w:pPr>
      <w:r w:rsidRPr="009148E1">
        <w:rPr>
          <w:rFonts w:ascii="Times New Roman" w:hAnsi="Times New Roman" w:cs="Times New Roman"/>
          <w:color w:val="202124"/>
          <w:sz w:val="24"/>
          <w:szCs w:val="24"/>
          <w:shd w:val="clear" w:color="auto" w:fill="FFFFFF"/>
        </w:rPr>
        <w:tab/>
        <w:t>The primary way to tell is a company’s Earning per Share is good is “</w:t>
      </w:r>
      <w:r w:rsidRPr="009148E1">
        <w:rPr>
          <w:rFonts w:ascii="Times New Roman" w:hAnsi="Times New Roman" w:cs="Times New Roman"/>
          <w:color w:val="202124"/>
          <w:sz w:val="24"/>
          <w:szCs w:val="24"/>
          <w:shd w:val="clear" w:color="auto" w:fill="FFFFFF"/>
        </w:rPr>
        <w:t>when a corporation's profits outperform those of similar companies in the same sector</w:t>
      </w:r>
      <w:r w:rsidRPr="009148E1">
        <w:rPr>
          <w:rFonts w:ascii="Times New Roman" w:hAnsi="Times New Roman" w:cs="Times New Roman"/>
          <w:color w:val="202124"/>
          <w:sz w:val="24"/>
          <w:szCs w:val="24"/>
          <w:shd w:val="clear" w:color="auto" w:fill="FFFFFF"/>
        </w:rPr>
        <w:t xml:space="preserve"> (Terzo, 2019).”  My research shows that UTX</w:t>
      </w:r>
      <w:r w:rsidR="00BE4BBE" w:rsidRPr="009148E1">
        <w:rPr>
          <w:rFonts w:ascii="Times New Roman" w:hAnsi="Times New Roman" w:cs="Times New Roman"/>
          <w:color w:val="202124"/>
          <w:sz w:val="24"/>
          <w:szCs w:val="24"/>
          <w:shd w:val="clear" w:color="auto" w:fill="FFFFFF"/>
        </w:rPr>
        <w:t xml:space="preserve"> (Pratt &amp; Whitney) is a “</w:t>
      </w:r>
      <w:r w:rsidR="00BE4BBE" w:rsidRPr="009148E1">
        <w:rPr>
          <w:rFonts w:ascii="Times New Roman" w:hAnsi="Times New Roman" w:cs="Times New Roman"/>
          <w:color w:val="202124"/>
          <w:sz w:val="24"/>
          <w:szCs w:val="24"/>
          <w:shd w:val="clear" w:color="auto" w:fill="FFFFFF"/>
        </w:rPr>
        <w:t>multi-industry company with significant business concentrations in aerospace products and services, including jet engines</w:t>
      </w:r>
      <w:r w:rsidR="00BE4BBE" w:rsidRPr="009148E1">
        <w:rPr>
          <w:rFonts w:ascii="Times New Roman" w:hAnsi="Times New Roman" w:cs="Times New Roman"/>
          <w:color w:val="202124"/>
          <w:sz w:val="24"/>
          <w:szCs w:val="24"/>
          <w:shd w:val="clear" w:color="auto" w:fill="FFFFFF"/>
        </w:rPr>
        <w:t xml:space="preserve"> (Amir, n.d.)</w:t>
      </w:r>
      <w:r w:rsidR="00BE4BBE" w:rsidRPr="009148E1">
        <w:rPr>
          <w:rFonts w:ascii="Times New Roman" w:hAnsi="Times New Roman" w:cs="Times New Roman"/>
          <w:color w:val="202124"/>
          <w:sz w:val="24"/>
          <w:szCs w:val="24"/>
          <w:shd w:val="clear" w:color="auto" w:fill="FFFFFF"/>
        </w:rPr>
        <w:t>.</w:t>
      </w:r>
      <w:r w:rsidR="00BE4BBE" w:rsidRPr="009148E1">
        <w:rPr>
          <w:rFonts w:ascii="Times New Roman" w:hAnsi="Times New Roman" w:cs="Times New Roman"/>
          <w:color w:val="202124"/>
          <w:sz w:val="24"/>
          <w:szCs w:val="24"/>
          <w:shd w:val="clear" w:color="auto" w:fill="FFFFFF"/>
        </w:rPr>
        <w:t xml:space="preserve">”  Its primary competitors in the creation of jet propulsion engines in the United States would be CFM </w:t>
      </w:r>
      <w:r w:rsidR="00BE4BBE" w:rsidRPr="009148E1">
        <w:rPr>
          <w:rFonts w:ascii="Times New Roman" w:hAnsi="Times New Roman" w:cs="Times New Roman"/>
          <w:color w:val="202124"/>
          <w:sz w:val="24"/>
          <w:szCs w:val="24"/>
          <w:shd w:val="clear" w:color="auto" w:fill="FFFFFF"/>
        </w:rPr>
        <w:lastRenderedPageBreak/>
        <w:t>International, GE Aviation, and Rolls-Royce.  The following data was found on Google search regarding Earnings Per Share for all four corporations</w:t>
      </w:r>
      <w:r w:rsidR="009148E1" w:rsidRPr="009148E1">
        <w:rPr>
          <w:rFonts w:ascii="Times New Roman" w:hAnsi="Times New Roman" w:cs="Times New Roman"/>
          <w:color w:val="202124"/>
          <w:sz w:val="24"/>
          <w:szCs w:val="24"/>
          <w:shd w:val="clear" w:color="auto" w:fill="FFFFFF"/>
        </w:rPr>
        <w:t xml:space="preserve"> shows that the Earnings Per Share for UTX is much greater that almost 50% of its closet competitor, CFM International (Aviation)</w:t>
      </w:r>
      <w:r w:rsidR="00BE4BBE" w:rsidRPr="009148E1">
        <w:rPr>
          <w:rFonts w:ascii="Times New Roman" w:hAnsi="Times New Roman" w:cs="Times New Roman"/>
          <w:color w:val="202124"/>
          <w:sz w:val="24"/>
          <w:szCs w:val="24"/>
          <w:shd w:val="clear" w:color="auto" w:fill="FFFFFF"/>
        </w:rPr>
        <w:t>:</w:t>
      </w:r>
    </w:p>
    <w:p w14:paraId="1522F453" w14:textId="77777777" w:rsidR="00BE4BBE" w:rsidRPr="009148E1" w:rsidRDefault="00BE4BBE" w:rsidP="00BE4BBE">
      <w:pPr>
        <w:pStyle w:val="ListParagraph"/>
        <w:numPr>
          <w:ilvl w:val="0"/>
          <w:numId w:val="12"/>
        </w:numPr>
        <w:jc w:val="both"/>
        <w:rPr>
          <w:rFonts w:ascii="Times New Roman" w:hAnsi="Times New Roman" w:cs="Times New Roman"/>
          <w:color w:val="202124"/>
          <w:sz w:val="24"/>
          <w:szCs w:val="24"/>
          <w:shd w:val="clear" w:color="auto" w:fill="FFFFFF"/>
        </w:rPr>
      </w:pPr>
      <w:r w:rsidRPr="009148E1">
        <w:rPr>
          <w:rFonts w:ascii="Times New Roman" w:hAnsi="Times New Roman" w:cs="Times New Roman"/>
          <w:color w:val="202124"/>
          <w:sz w:val="24"/>
          <w:szCs w:val="24"/>
          <w:shd w:val="clear" w:color="auto" w:fill="FFFFFF"/>
        </w:rPr>
        <w:t>UTX 8.26</w:t>
      </w:r>
    </w:p>
    <w:p w14:paraId="4CA4A81A" w14:textId="7DB147F8" w:rsidR="00BE4BBE" w:rsidRPr="009148E1" w:rsidRDefault="00BE4BBE" w:rsidP="00BE4BBE">
      <w:pPr>
        <w:pStyle w:val="ListParagraph"/>
        <w:numPr>
          <w:ilvl w:val="0"/>
          <w:numId w:val="12"/>
        </w:numPr>
        <w:jc w:val="both"/>
        <w:rPr>
          <w:rFonts w:ascii="Times New Roman" w:hAnsi="Times New Roman" w:cs="Times New Roman"/>
          <w:color w:val="202124"/>
          <w:sz w:val="24"/>
          <w:szCs w:val="24"/>
          <w:shd w:val="clear" w:color="auto" w:fill="FFFFFF"/>
        </w:rPr>
      </w:pPr>
      <w:r w:rsidRPr="009148E1">
        <w:rPr>
          <w:rFonts w:ascii="Times New Roman" w:hAnsi="Times New Roman" w:cs="Times New Roman"/>
          <w:color w:val="202124"/>
          <w:sz w:val="24"/>
          <w:szCs w:val="24"/>
          <w:shd w:val="clear" w:color="auto" w:fill="FFFFFF"/>
        </w:rPr>
        <w:t>CFM International 4.60</w:t>
      </w:r>
    </w:p>
    <w:p w14:paraId="0755D60D" w14:textId="08089765" w:rsidR="00BE4BBE" w:rsidRPr="009148E1" w:rsidRDefault="00BE4BBE" w:rsidP="00BE4BBE">
      <w:pPr>
        <w:pStyle w:val="ListParagraph"/>
        <w:numPr>
          <w:ilvl w:val="0"/>
          <w:numId w:val="12"/>
        </w:numPr>
        <w:jc w:val="both"/>
        <w:rPr>
          <w:rFonts w:ascii="Times New Roman" w:hAnsi="Times New Roman" w:cs="Times New Roman"/>
          <w:color w:val="202124"/>
          <w:sz w:val="24"/>
          <w:szCs w:val="24"/>
          <w:shd w:val="clear" w:color="auto" w:fill="FFFFFF"/>
        </w:rPr>
      </w:pPr>
      <w:r w:rsidRPr="009148E1">
        <w:rPr>
          <w:rFonts w:ascii="Times New Roman" w:hAnsi="Times New Roman" w:cs="Times New Roman"/>
          <w:color w:val="202124"/>
          <w:sz w:val="24"/>
          <w:szCs w:val="24"/>
          <w:shd w:val="clear" w:color="auto" w:fill="FFFFFF"/>
        </w:rPr>
        <w:t>GE Aviation 0.03</w:t>
      </w:r>
    </w:p>
    <w:p w14:paraId="77EC1A3F" w14:textId="4B39EB61" w:rsidR="00BE4BBE" w:rsidRPr="009148E1" w:rsidRDefault="00BE4BBE" w:rsidP="00BE4BBE">
      <w:pPr>
        <w:pStyle w:val="ListParagraph"/>
        <w:numPr>
          <w:ilvl w:val="0"/>
          <w:numId w:val="12"/>
        </w:numPr>
        <w:jc w:val="both"/>
        <w:rPr>
          <w:rFonts w:ascii="Times New Roman" w:hAnsi="Times New Roman" w:cs="Times New Roman"/>
          <w:color w:val="202124"/>
          <w:sz w:val="24"/>
          <w:szCs w:val="24"/>
          <w:shd w:val="clear" w:color="auto" w:fill="FFFFFF"/>
        </w:rPr>
      </w:pPr>
      <w:r w:rsidRPr="009148E1">
        <w:rPr>
          <w:rFonts w:ascii="Times New Roman" w:hAnsi="Times New Roman" w:cs="Times New Roman"/>
          <w:color w:val="202124"/>
          <w:sz w:val="24"/>
          <w:szCs w:val="24"/>
          <w:shd w:val="clear" w:color="auto" w:fill="FFFFFF"/>
        </w:rPr>
        <w:t>Rolls Royce</w:t>
      </w:r>
      <w:r w:rsidRPr="009148E1">
        <w:rPr>
          <w:rFonts w:ascii="Times New Roman" w:hAnsi="Times New Roman" w:cs="Times New Roman"/>
          <w:color w:val="202124"/>
          <w:sz w:val="24"/>
          <w:szCs w:val="24"/>
          <w:shd w:val="clear" w:color="auto" w:fill="FFFFFF"/>
        </w:rPr>
        <w:tab/>
        <w:t>0.018</w:t>
      </w:r>
    </w:p>
    <w:p w14:paraId="2386A0B6" w14:textId="7A0A2DB5" w:rsidR="00BE4BBE" w:rsidRDefault="009148E1" w:rsidP="00BE4BBE">
      <w:pPr>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The final tool I will attempt to use to see if this sale is one of value if the Debt-Equity ratio.  In the simplest terms as I can explain, most companies acquire a certain amount of debt </w:t>
      </w:r>
      <w:r w:rsidR="0007542B">
        <w:rPr>
          <w:rFonts w:ascii="Times New Roman" w:hAnsi="Times New Roman" w:cs="Times New Roman"/>
          <w:color w:val="202124"/>
          <w:sz w:val="24"/>
          <w:szCs w:val="24"/>
          <w:shd w:val="clear" w:color="auto" w:fill="FFFFFF"/>
        </w:rPr>
        <w:t>depending on their particular industry.  It is my understanding that most jet engine companies are all vying for big contracts of the federal government or large private airlines.  But until they ge those contracts, they have to stay afloat and keep their manufacturing and distribution sides flowing without disruption.  This is done by some form of debt – usually extensive credit or elongated terms.  A good debit equity ratio is considered anything less than 1.The formula for find the Debt Equity ratio is as follows:</w:t>
      </w:r>
    </w:p>
    <w:p w14:paraId="738860D4" w14:textId="2A5336C6" w:rsidR="0007542B" w:rsidRDefault="0007542B" w:rsidP="0007542B">
      <w:pPr>
        <w:jc w:val="center"/>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DEBT EQUITY RATIO = TOTAL DEBT / SHAREHOLDERS FUND</w:t>
      </w:r>
    </w:p>
    <w:p w14:paraId="55691335" w14:textId="03A7E3CD" w:rsidR="0007542B" w:rsidRDefault="0007542B" w:rsidP="0007542B">
      <w:pPr>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Using the Balance Sheet again for the identical date ranges as before, before a sale of Pratt &amp; Whitney, the ratio appears to hover about 2.14 to 2.18, but after the sale, that ratio steadily decreases to 1.282 by 2018.</w:t>
      </w:r>
    </w:p>
    <w:p w14:paraId="5ADAF05C" w14:textId="48A815F5" w:rsidR="0007542B" w:rsidRPr="00BE4BBE" w:rsidRDefault="0007542B" w:rsidP="0007542B">
      <w:pPr>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In conclusion, I have evaluated the prop</w:t>
      </w:r>
      <w:r w:rsidR="00307438">
        <w:rPr>
          <w:rFonts w:ascii="Times New Roman" w:hAnsi="Times New Roman" w:cs="Times New Roman"/>
          <w:color w:val="202124"/>
          <w:sz w:val="24"/>
          <w:szCs w:val="24"/>
          <w:shd w:val="clear" w:color="auto" w:fill="FFFFFF"/>
        </w:rPr>
        <w:t xml:space="preserve">osed sale of the Pratt &amp; Whitney division of UTX/UTC.  I have used four of the five primary rations taught in out various lessons using the Balance Sheet, Income Statement and Cash Flow Statement.  Based on the findings of those ratios, </w:t>
      </w:r>
      <w:r w:rsidR="00307438">
        <w:rPr>
          <w:rFonts w:ascii="Times New Roman" w:hAnsi="Times New Roman" w:cs="Times New Roman"/>
          <w:color w:val="202124"/>
          <w:sz w:val="24"/>
          <w:szCs w:val="24"/>
          <w:shd w:val="clear" w:color="auto" w:fill="FFFFFF"/>
        </w:rPr>
        <w:lastRenderedPageBreak/>
        <w:t>in combination of the comparison of the Earnings per Share to its competitors in the United States, I would conclude that this sale would be beneficial to its investors and constituents.</w:t>
      </w:r>
    </w:p>
    <w:p w14:paraId="49C2BAEA" w14:textId="26A414EC" w:rsidR="0051778C" w:rsidRPr="005E489E" w:rsidRDefault="0051778C" w:rsidP="005E489E">
      <w:pPr>
        <w:rPr>
          <w:rFonts w:ascii="Times New Roman" w:hAnsi="Times New Roman" w:cs="Times New Roman"/>
          <w:color w:val="202124"/>
          <w:sz w:val="24"/>
          <w:szCs w:val="24"/>
          <w:shd w:val="clear" w:color="auto" w:fill="FFFFFF"/>
        </w:rPr>
      </w:pPr>
      <w:r w:rsidRPr="005E489E">
        <w:rPr>
          <w:rFonts w:ascii="Times New Roman" w:hAnsi="Times New Roman" w:cs="Times New Roman"/>
          <w:color w:val="202124"/>
          <w:sz w:val="24"/>
          <w:szCs w:val="24"/>
          <w:shd w:val="clear" w:color="auto" w:fill="FFFFFF"/>
        </w:rPr>
        <w:br w:type="page"/>
      </w:r>
    </w:p>
    <w:p w14:paraId="5104A933" w14:textId="7B1AAF44" w:rsidR="00925200" w:rsidRPr="005E489E" w:rsidRDefault="00925200" w:rsidP="002655C1">
      <w:pPr>
        <w:jc w:val="both"/>
        <w:rPr>
          <w:rFonts w:ascii="Times New Roman" w:hAnsi="Times New Roman" w:cs="Times New Roman"/>
          <w:color w:val="202124"/>
          <w:sz w:val="24"/>
          <w:szCs w:val="24"/>
          <w:shd w:val="clear" w:color="auto" w:fill="FFFFFF"/>
        </w:rPr>
      </w:pPr>
      <w:r w:rsidRPr="005E489E">
        <w:rPr>
          <w:rFonts w:ascii="Times New Roman" w:hAnsi="Times New Roman" w:cs="Times New Roman"/>
          <w:color w:val="202124"/>
          <w:sz w:val="24"/>
          <w:szCs w:val="24"/>
          <w:shd w:val="clear" w:color="auto" w:fill="FFFFFF"/>
        </w:rPr>
        <w:lastRenderedPageBreak/>
        <w:t>References</w:t>
      </w:r>
    </w:p>
    <w:p w14:paraId="27C0E209" w14:textId="77777777" w:rsidR="009B1674" w:rsidRPr="005E489E" w:rsidRDefault="009B1674" w:rsidP="002655C1">
      <w:pPr>
        <w:jc w:val="both"/>
        <w:rPr>
          <w:rFonts w:ascii="Times New Roman" w:hAnsi="Times New Roman" w:cs="Times New Roman"/>
          <w:color w:val="202124"/>
          <w:sz w:val="24"/>
          <w:szCs w:val="24"/>
          <w:shd w:val="clear" w:color="auto" w:fill="FFFFFF"/>
        </w:rPr>
      </w:pPr>
    </w:p>
    <w:p w14:paraId="66193E39" w14:textId="2164012F" w:rsidR="00A8345D" w:rsidRPr="005E489E" w:rsidRDefault="005E489E" w:rsidP="0051778C">
      <w:pPr>
        <w:ind w:left="720" w:hanging="720"/>
        <w:jc w:val="both"/>
        <w:rPr>
          <w:rFonts w:ascii="Times New Roman" w:hAnsi="Times New Roman" w:cs="Times New Roman"/>
          <w:sz w:val="24"/>
          <w:szCs w:val="24"/>
        </w:rPr>
      </w:pPr>
      <w:r w:rsidRPr="005E489E">
        <w:rPr>
          <w:rFonts w:ascii="Times New Roman" w:hAnsi="Times New Roman" w:cs="Times New Roman"/>
          <w:sz w:val="24"/>
          <w:szCs w:val="24"/>
        </w:rPr>
        <w:t xml:space="preserve">Maverick, J.  31 May 2021.  “What Is Considered A Good Working Capital Ratio?”  Retrieved from:  </w:t>
      </w:r>
      <w:hyperlink r:id="rId7" w:history="1">
        <w:r w:rsidRPr="005E489E">
          <w:rPr>
            <w:rStyle w:val="Hyperlink"/>
            <w:rFonts w:ascii="Times New Roman" w:hAnsi="Times New Roman" w:cs="Times New Roman"/>
            <w:sz w:val="24"/>
            <w:szCs w:val="24"/>
          </w:rPr>
          <w:t>https://www.investopedia.com/ask/answers/010915/what-proper-ratio-between-working-capital-current-assets-and-current-liabilities.asp</w:t>
        </w:r>
      </w:hyperlink>
    </w:p>
    <w:p w14:paraId="70A49B91" w14:textId="29CD642F" w:rsidR="005E489E" w:rsidRDefault="007C5BF7" w:rsidP="0051778C">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Johnson, J.  07 Sep 2021.  “What Is Quick Ratio?  How Do You Calculate It?”  Retrieved from:  </w:t>
      </w:r>
      <w:hyperlink r:id="rId8" w:history="1">
        <w:r w:rsidRPr="00F03803">
          <w:rPr>
            <w:rStyle w:val="Hyperlink"/>
            <w:rFonts w:ascii="Times New Roman" w:hAnsi="Times New Roman" w:cs="Times New Roman"/>
            <w:sz w:val="24"/>
            <w:szCs w:val="24"/>
          </w:rPr>
          <w:t>https://www.valuepenguin.com/small-business/what-is-quick-ratio#to</w:t>
        </w:r>
      </w:hyperlink>
    </w:p>
    <w:p w14:paraId="0CB80AA0" w14:textId="1D7EF71D" w:rsidR="007C5BF7" w:rsidRDefault="00A90744" w:rsidP="0051778C">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Terzo, G.  11 Mar 2019.  “What Is Considered A Goodf EPS In The Stock Market?”  Retrieved from:  </w:t>
      </w:r>
      <w:hyperlink r:id="rId9" w:history="1">
        <w:r w:rsidRPr="00F03803">
          <w:rPr>
            <w:rStyle w:val="Hyperlink"/>
            <w:rFonts w:ascii="Times New Roman" w:hAnsi="Times New Roman" w:cs="Times New Roman"/>
            <w:sz w:val="24"/>
            <w:szCs w:val="24"/>
          </w:rPr>
          <w:t>https://finance.zacks.com/considered-good-eps-stock-market-2938.html</w:t>
        </w:r>
      </w:hyperlink>
    </w:p>
    <w:p w14:paraId="32B79F5F" w14:textId="5F99E9B0" w:rsidR="00A90744" w:rsidRDefault="00BE4BBE" w:rsidP="0051778C">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Amir, A.  n.d.  “United Technologies Corporation (UTC).”  </w:t>
      </w:r>
      <w:r>
        <w:rPr>
          <w:rFonts w:ascii="Times New Roman" w:hAnsi="Times New Roman" w:cs="Times New Roman"/>
          <w:i/>
          <w:iCs/>
          <w:sz w:val="24"/>
          <w:szCs w:val="24"/>
        </w:rPr>
        <w:t>Britannica.</w:t>
      </w:r>
      <w:r>
        <w:rPr>
          <w:rFonts w:ascii="Times New Roman" w:hAnsi="Times New Roman" w:cs="Times New Roman"/>
          <w:sz w:val="24"/>
          <w:szCs w:val="24"/>
        </w:rPr>
        <w:t xml:space="preserve">  Retrieved from:  </w:t>
      </w:r>
      <w:hyperlink r:id="rId10" w:history="1">
        <w:r w:rsidRPr="00F03803">
          <w:rPr>
            <w:rStyle w:val="Hyperlink"/>
            <w:rFonts w:ascii="Times New Roman" w:hAnsi="Times New Roman" w:cs="Times New Roman"/>
            <w:sz w:val="24"/>
            <w:szCs w:val="24"/>
          </w:rPr>
          <w:t>https://www.britannica.com/topic/United-Technologies-Corporation</w:t>
        </w:r>
      </w:hyperlink>
    </w:p>
    <w:p w14:paraId="1DAFFB72" w14:textId="77777777" w:rsidR="00BE4BBE" w:rsidRPr="00BE4BBE" w:rsidRDefault="00BE4BBE" w:rsidP="0051778C">
      <w:pPr>
        <w:ind w:left="720" w:hanging="720"/>
        <w:jc w:val="both"/>
        <w:rPr>
          <w:rFonts w:ascii="Times New Roman" w:hAnsi="Times New Roman" w:cs="Times New Roman"/>
          <w:sz w:val="24"/>
          <w:szCs w:val="24"/>
        </w:rPr>
      </w:pPr>
    </w:p>
    <w:sectPr w:rsidR="00BE4BBE" w:rsidRPr="00BE4BBE" w:rsidSect="00514172">
      <w:footerReference w:type="default" r:id="rId11"/>
      <w:pgSz w:w="12240" w:h="15840"/>
      <w:pgMar w:top="1440" w:right="1440" w:bottom="1440" w:left="15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78774" w14:textId="77777777" w:rsidR="009E47FB" w:rsidRDefault="009E47FB">
      <w:pPr>
        <w:spacing w:after="0" w:line="240" w:lineRule="auto"/>
      </w:pPr>
      <w:r>
        <w:separator/>
      </w:r>
    </w:p>
  </w:endnote>
  <w:endnote w:type="continuationSeparator" w:id="0">
    <w:p w14:paraId="00C8573A" w14:textId="77777777" w:rsidR="009E47FB" w:rsidRDefault="009E47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6405550"/>
      <w:docPartObj>
        <w:docPartGallery w:val="Page Numbers (Bottom of Page)"/>
        <w:docPartUnique/>
      </w:docPartObj>
    </w:sdtPr>
    <w:sdtEndPr>
      <w:rPr>
        <w:color w:val="7F7F7F" w:themeColor="background1" w:themeShade="7F"/>
        <w:spacing w:val="60"/>
      </w:rPr>
    </w:sdtEndPr>
    <w:sdtContent>
      <w:p w14:paraId="2923DB0F" w14:textId="77777777" w:rsidR="007E1AF5" w:rsidRDefault="009B167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F97A537" w14:textId="77777777" w:rsidR="00153753" w:rsidRDefault="009E47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77036D" w14:textId="77777777" w:rsidR="009E47FB" w:rsidRDefault="009E47FB">
      <w:pPr>
        <w:spacing w:after="0" w:line="240" w:lineRule="auto"/>
      </w:pPr>
      <w:r>
        <w:separator/>
      </w:r>
    </w:p>
  </w:footnote>
  <w:footnote w:type="continuationSeparator" w:id="0">
    <w:p w14:paraId="4B9153F1" w14:textId="77777777" w:rsidR="009E47FB" w:rsidRDefault="009E47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F7844"/>
    <w:multiLevelType w:val="hybridMultilevel"/>
    <w:tmpl w:val="4782A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C74E9"/>
    <w:multiLevelType w:val="hybridMultilevel"/>
    <w:tmpl w:val="D750CEE2"/>
    <w:lvl w:ilvl="0" w:tplc="04090001">
      <w:start w:val="1"/>
      <w:numFmt w:val="bullet"/>
      <w:lvlText w:val=""/>
      <w:lvlJc w:val="left"/>
      <w:pPr>
        <w:ind w:left="3690" w:hanging="360"/>
      </w:pPr>
      <w:rPr>
        <w:rFonts w:ascii="Symbol" w:hAnsi="Symbol" w:hint="default"/>
      </w:rPr>
    </w:lvl>
    <w:lvl w:ilvl="1" w:tplc="04090003" w:tentative="1">
      <w:start w:val="1"/>
      <w:numFmt w:val="bullet"/>
      <w:lvlText w:val="o"/>
      <w:lvlJc w:val="left"/>
      <w:pPr>
        <w:ind w:left="4410" w:hanging="360"/>
      </w:pPr>
      <w:rPr>
        <w:rFonts w:ascii="Courier New" w:hAnsi="Courier New" w:cs="Courier New" w:hint="default"/>
      </w:rPr>
    </w:lvl>
    <w:lvl w:ilvl="2" w:tplc="04090005" w:tentative="1">
      <w:start w:val="1"/>
      <w:numFmt w:val="bullet"/>
      <w:lvlText w:val=""/>
      <w:lvlJc w:val="left"/>
      <w:pPr>
        <w:ind w:left="5130" w:hanging="360"/>
      </w:pPr>
      <w:rPr>
        <w:rFonts w:ascii="Wingdings" w:hAnsi="Wingdings" w:hint="default"/>
      </w:rPr>
    </w:lvl>
    <w:lvl w:ilvl="3" w:tplc="04090001" w:tentative="1">
      <w:start w:val="1"/>
      <w:numFmt w:val="bullet"/>
      <w:lvlText w:val=""/>
      <w:lvlJc w:val="left"/>
      <w:pPr>
        <w:ind w:left="5850" w:hanging="360"/>
      </w:pPr>
      <w:rPr>
        <w:rFonts w:ascii="Symbol" w:hAnsi="Symbol" w:hint="default"/>
      </w:rPr>
    </w:lvl>
    <w:lvl w:ilvl="4" w:tplc="04090003" w:tentative="1">
      <w:start w:val="1"/>
      <w:numFmt w:val="bullet"/>
      <w:lvlText w:val="o"/>
      <w:lvlJc w:val="left"/>
      <w:pPr>
        <w:ind w:left="6570" w:hanging="360"/>
      </w:pPr>
      <w:rPr>
        <w:rFonts w:ascii="Courier New" w:hAnsi="Courier New" w:cs="Courier New" w:hint="default"/>
      </w:rPr>
    </w:lvl>
    <w:lvl w:ilvl="5" w:tplc="04090005" w:tentative="1">
      <w:start w:val="1"/>
      <w:numFmt w:val="bullet"/>
      <w:lvlText w:val=""/>
      <w:lvlJc w:val="left"/>
      <w:pPr>
        <w:ind w:left="7290" w:hanging="360"/>
      </w:pPr>
      <w:rPr>
        <w:rFonts w:ascii="Wingdings" w:hAnsi="Wingdings" w:hint="default"/>
      </w:rPr>
    </w:lvl>
    <w:lvl w:ilvl="6" w:tplc="04090001" w:tentative="1">
      <w:start w:val="1"/>
      <w:numFmt w:val="bullet"/>
      <w:lvlText w:val=""/>
      <w:lvlJc w:val="left"/>
      <w:pPr>
        <w:ind w:left="8010" w:hanging="360"/>
      </w:pPr>
      <w:rPr>
        <w:rFonts w:ascii="Symbol" w:hAnsi="Symbol" w:hint="default"/>
      </w:rPr>
    </w:lvl>
    <w:lvl w:ilvl="7" w:tplc="04090003" w:tentative="1">
      <w:start w:val="1"/>
      <w:numFmt w:val="bullet"/>
      <w:lvlText w:val="o"/>
      <w:lvlJc w:val="left"/>
      <w:pPr>
        <w:ind w:left="8730" w:hanging="360"/>
      </w:pPr>
      <w:rPr>
        <w:rFonts w:ascii="Courier New" w:hAnsi="Courier New" w:cs="Courier New" w:hint="default"/>
      </w:rPr>
    </w:lvl>
    <w:lvl w:ilvl="8" w:tplc="04090005" w:tentative="1">
      <w:start w:val="1"/>
      <w:numFmt w:val="bullet"/>
      <w:lvlText w:val=""/>
      <w:lvlJc w:val="left"/>
      <w:pPr>
        <w:ind w:left="9450" w:hanging="360"/>
      </w:pPr>
      <w:rPr>
        <w:rFonts w:ascii="Wingdings" w:hAnsi="Wingdings" w:hint="default"/>
      </w:rPr>
    </w:lvl>
  </w:abstractNum>
  <w:abstractNum w:abstractNumId="2" w15:restartNumberingAfterBreak="0">
    <w:nsid w:val="062141E8"/>
    <w:multiLevelType w:val="hybridMultilevel"/>
    <w:tmpl w:val="52F62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E9753C"/>
    <w:multiLevelType w:val="hybridMultilevel"/>
    <w:tmpl w:val="836A12D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1897199D"/>
    <w:multiLevelType w:val="hybridMultilevel"/>
    <w:tmpl w:val="2DB6F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414FF"/>
    <w:multiLevelType w:val="hybridMultilevel"/>
    <w:tmpl w:val="3C9204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68B61F9"/>
    <w:multiLevelType w:val="hybridMultilevel"/>
    <w:tmpl w:val="BAC483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6B65749"/>
    <w:multiLevelType w:val="hybridMultilevel"/>
    <w:tmpl w:val="36689F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B83712"/>
    <w:multiLevelType w:val="hybridMultilevel"/>
    <w:tmpl w:val="F056D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914685"/>
    <w:multiLevelType w:val="hybridMultilevel"/>
    <w:tmpl w:val="640E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3E19E2"/>
    <w:multiLevelType w:val="hybridMultilevel"/>
    <w:tmpl w:val="32765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AC5EC8"/>
    <w:multiLevelType w:val="hybridMultilevel"/>
    <w:tmpl w:val="FDF8A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1"/>
  </w:num>
  <w:num w:numId="3">
    <w:abstractNumId w:val="9"/>
  </w:num>
  <w:num w:numId="4">
    <w:abstractNumId w:val="4"/>
  </w:num>
  <w:num w:numId="5">
    <w:abstractNumId w:val="0"/>
  </w:num>
  <w:num w:numId="6">
    <w:abstractNumId w:val="10"/>
  </w:num>
  <w:num w:numId="7">
    <w:abstractNumId w:val="6"/>
  </w:num>
  <w:num w:numId="8">
    <w:abstractNumId w:val="3"/>
  </w:num>
  <w:num w:numId="9">
    <w:abstractNumId w:val="8"/>
  </w:num>
  <w:num w:numId="10">
    <w:abstractNumId w:val="5"/>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05C"/>
    <w:rsid w:val="000041AD"/>
    <w:rsid w:val="0007542B"/>
    <w:rsid w:val="000E5C8B"/>
    <w:rsid w:val="00114524"/>
    <w:rsid w:val="00140B7B"/>
    <w:rsid w:val="001A1CC9"/>
    <w:rsid w:val="001C6F13"/>
    <w:rsid w:val="002655C1"/>
    <w:rsid w:val="00284548"/>
    <w:rsid w:val="00307438"/>
    <w:rsid w:val="00335A85"/>
    <w:rsid w:val="003549EF"/>
    <w:rsid w:val="00365938"/>
    <w:rsid w:val="003941A6"/>
    <w:rsid w:val="003D0BEC"/>
    <w:rsid w:val="003E39F5"/>
    <w:rsid w:val="00452169"/>
    <w:rsid w:val="00476FD1"/>
    <w:rsid w:val="00485C2C"/>
    <w:rsid w:val="00493F6A"/>
    <w:rsid w:val="004E2078"/>
    <w:rsid w:val="00514172"/>
    <w:rsid w:val="0051778C"/>
    <w:rsid w:val="00531BBB"/>
    <w:rsid w:val="005765FD"/>
    <w:rsid w:val="005E489E"/>
    <w:rsid w:val="00603FA9"/>
    <w:rsid w:val="00636FD2"/>
    <w:rsid w:val="00640784"/>
    <w:rsid w:val="006D1B8F"/>
    <w:rsid w:val="00757FC3"/>
    <w:rsid w:val="00784944"/>
    <w:rsid w:val="007A5AE3"/>
    <w:rsid w:val="007B77F5"/>
    <w:rsid w:val="007C022F"/>
    <w:rsid w:val="007C5BF7"/>
    <w:rsid w:val="007D6836"/>
    <w:rsid w:val="00907C26"/>
    <w:rsid w:val="0091333B"/>
    <w:rsid w:val="009148E1"/>
    <w:rsid w:val="00925200"/>
    <w:rsid w:val="00963CCD"/>
    <w:rsid w:val="009B1674"/>
    <w:rsid w:val="009B5617"/>
    <w:rsid w:val="009E47FB"/>
    <w:rsid w:val="00A025F2"/>
    <w:rsid w:val="00A207EE"/>
    <w:rsid w:val="00A21F0F"/>
    <w:rsid w:val="00A8345D"/>
    <w:rsid w:val="00A86A7F"/>
    <w:rsid w:val="00A90744"/>
    <w:rsid w:val="00B00148"/>
    <w:rsid w:val="00B7635E"/>
    <w:rsid w:val="00BA4774"/>
    <w:rsid w:val="00BE4BBE"/>
    <w:rsid w:val="00C27AC8"/>
    <w:rsid w:val="00C43CBC"/>
    <w:rsid w:val="00C514DD"/>
    <w:rsid w:val="00C603B4"/>
    <w:rsid w:val="00C67F76"/>
    <w:rsid w:val="00CC0A59"/>
    <w:rsid w:val="00CE55F9"/>
    <w:rsid w:val="00D203D7"/>
    <w:rsid w:val="00D24531"/>
    <w:rsid w:val="00DA40A3"/>
    <w:rsid w:val="00E33595"/>
    <w:rsid w:val="00E43DF1"/>
    <w:rsid w:val="00E7458F"/>
    <w:rsid w:val="00E8067A"/>
    <w:rsid w:val="00EB3229"/>
    <w:rsid w:val="00F0005C"/>
    <w:rsid w:val="00F4454D"/>
    <w:rsid w:val="00FC6F52"/>
    <w:rsid w:val="00FD1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D3915"/>
  <w15:chartTrackingRefBased/>
  <w15:docId w15:val="{3DE3EB63-888B-4BBF-98BA-7EF9DA600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200"/>
  </w:style>
  <w:style w:type="paragraph" w:styleId="Heading1">
    <w:name w:val="heading 1"/>
    <w:basedOn w:val="Normal"/>
    <w:link w:val="Heading1Char"/>
    <w:uiPriority w:val="9"/>
    <w:qFormat/>
    <w:rsid w:val="009B16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35A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5200"/>
    <w:rPr>
      <w:color w:val="0563C1" w:themeColor="hyperlink"/>
      <w:u w:val="single"/>
    </w:rPr>
  </w:style>
  <w:style w:type="paragraph" w:styleId="Footer">
    <w:name w:val="footer"/>
    <w:basedOn w:val="Normal"/>
    <w:link w:val="FooterChar"/>
    <w:uiPriority w:val="99"/>
    <w:unhideWhenUsed/>
    <w:rsid w:val="009252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5200"/>
  </w:style>
  <w:style w:type="character" w:styleId="Emphasis">
    <w:name w:val="Emphasis"/>
    <w:basedOn w:val="DefaultParagraphFont"/>
    <w:uiPriority w:val="20"/>
    <w:qFormat/>
    <w:rsid w:val="00925200"/>
    <w:rPr>
      <w:i/>
      <w:iCs/>
    </w:rPr>
  </w:style>
  <w:style w:type="paragraph" w:styleId="ListParagraph">
    <w:name w:val="List Paragraph"/>
    <w:basedOn w:val="Normal"/>
    <w:uiPriority w:val="34"/>
    <w:qFormat/>
    <w:rsid w:val="000E5C8B"/>
    <w:pPr>
      <w:ind w:left="720"/>
      <w:contextualSpacing/>
    </w:pPr>
  </w:style>
  <w:style w:type="character" w:styleId="UnresolvedMention">
    <w:name w:val="Unresolved Mention"/>
    <w:basedOn w:val="DefaultParagraphFont"/>
    <w:uiPriority w:val="99"/>
    <w:semiHidden/>
    <w:unhideWhenUsed/>
    <w:rsid w:val="00757FC3"/>
    <w:rPr>
      <w:color w:val="605E5C"/>
      <w:shd w:val="clear" w:color="auto" w:fill="E1DFDD"/>
    </w:rPr>
  </w:style>
  <w:style w:type="character" w:customStyle="1" w:styleId="Heading1Char">
    <w:name w:val="Heading 1 Char"/>
    <w:basedOn w:val="DefaultParagraphFont"/>
    <w:link w:val="Heading1"/>
    <w:uiPriority w:val="9"/>
    <w:rsid w:val="009B1674"/>
    <w:rPr>
      <w:rFonts w:ascii="Times New Roman" w:eastAsia="Times New Roman" w:hAnsi="Times New Roman" w:cs="Times New Roman"/>
      <w:b/>
      <w:bCs/>
      <w:kern w:val="36"/>
      <w:sz w:val="48"/>
      <w:szCs w:val="48"/>
    </w:rPr>
  </w:style>
  <w:style w:type="paragraph" w:styleId="TOCHeading">
    <w:name w:val="TOC Heading"/>
    <w:basedOn w:val="Heading1"/>
    <w:next w:val="Normal"/>
    <w:uiPriority w:val="39"/>
    <w:unhideWhenUsed/>
    <w:qFormat/>
    <w:rsid w:val="00C603B4"/>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C603B4"/>
    <w:pPr>
      <w:spacing w:after="100"/>
    </w:pPr>
  </w:style>
  <w:style w:type="paragraph" w:styleId="TOC2">
    <w:name w:val="toc 2"/>
    <w:basedOn w:val="Normal"/>
    <w:next w:val="Normal"/>
    <w:autoRedefine/>
    <w:uiPriority w:val="39"/>
    <w:unhideWhenUsed/>
    <w:rsid w:val="00C603B4"/>
    <w:pPr>
      <w:spacing w:after="100"/>
      <w:ind w:left="220"/>
    </w:pPr>
    <w:rPr>
      <w:rFonts w:eastAsiaTheme="minorEastAsia" w:cs="Times New Roman"/>
    </w:rPr>
  </w:style>
  <w:style w:type="paragraph" w:styleId="TOC3">
    <w:name w:val="toc 3"/>
    <w:basedOn w:val="Normal"/>
    <w:next w:val="Normal"/>
    <w:autoRedefine/>
    <w:uiPriority w:val="39"/>
    <w:unhideWhenUsed/>
    <w:rsid w:val="00C603B4"/>
    <w:pPr>
      <w:spacing w:after="100"/>
      <w:ind w:left="440"/>
    </w:pPr>
    <w:rPr>
      <w:rFonts w:eastAsiaTheme="minorEastAsia" w:cs="Times New Roman"/>
    </w:rPr>
  </w:style>
  <w:style w:type="character" w:styleId="Strong">
    <w:name w:val="Strong"/>
    <w:basedOn w:val="DefaultParagraphFont"/>
    <w:uiPriority w:val="22"/>
    <w:qFormat/>
    <w:rsid w:val="0091333B"/>
    <w:rPr>
      <w:b/>
      <w:bCs/>
    </w:rPr>
  </w:style>
  <w:style w:type="character" w:customStyle="1" w:styleId="Heading2Char">
    <w:name w:val="Heading 2 Char"/>
    <w:basedOn w:val="DefaultParagraphFont"/>
    <w:link w:val="Heading2"/>
    <w:uiPriority w:val="9"/>
    <w:semiHidden/>
    <w:rsid w:val="00335A85"/>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7B77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77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67273">
      <w:bodyDiv w:val="1"/>
      <w:marLeft w:val="0"/>
      <w:marRight w:val="0"/>
      <w:marTop w:val="0"/>
      <w:marBottom w:val="0"/>
      <w:divBdr>
        <w:top w:val="none" w:sz="0" w:space="0" w:color="auto"/>
        <w:left w:val="none" w:sz="0" w:space="0" w:color="auto"/>
        <w:bottom w:val="none" w:sz="0" w:space="0" w:color="auto"/>
        <w:right w:val="none" w:sz="0" w:space="0" w:color="auto"/>
      </w:divBdr>
    </w:div>
    <w:div w:id="463354725">
      <w:bodyDiv w:val="1"/>
      <w:marLeft w:val="0"/>
      <w:marRight w:val="0"/>
      <w:marTop w:val="0"/>
      <w:marBottom w:val="0"/>
      <w:divBdr>
        <w:top w:val="none" w:sz="0" w:space="0" w:color="auto"/>
        <w:left w:val="none" w:sz="0" w:space="0" w:color="auto"/>
        <w:bottom w:val="none" w:sz="0" w:space="0" w:color="auto"/>
        <w:right w:val="none" w:sz="0" w:space="0" w:color="auto"/>
      </w:divBdr>
    </w:div>
    <w:div w:id="488178959">
      <w:bodyDiv w:val="1"/>
      <w:marLeft w:val="0"/>
      <w:marRight w:val="0"/>
      <w:marTop w:val="0"/>
      <w:marBottom w:val="0"/>
      <w:divBdr>
        <w:top w:val="none" w:sz="0" w:space="0" w:color="auto"/>
        <w:left w:val="none" w:sz="0" w:space="0" w:color="auto"/>
        <w:bottom w:val="none" w:sz="0" w:space="0" w:color="auto"/>
        <w:right w:val="none" w:sz="0" w:space="0" w:color="auto"/>
      </w:divBdr>
    </w:div>
    <w:div w:id="530843642">
      <w:bodyDiv w:val="1"/>
      <w:marLeft w:val="0"/>
      <w:marRight w:val="0"/>
      <w:marTop w:val="0"/>
      <w:marBottom w:val="0"/>
      <w:divBdr>
        <w:top w:val="none" w:sz="0" w:space="0" w:color="auto"/>
        <w:left w:val="none" w:sz="0" w:space="0" w:color="auto"/>
        <w:bottom w:val="none" w:sz="0" w:space="0" w:color="auto"/>
        <w:right w:val="none" w:sz="0" w:space="0" w:color="auto"/>
      </w:divBdr>
    </w:div>
    <w:div w:id="763185392">
      <w:bodyDiv w:val="1"/>
      <w:marLeft w:val="0"/>
      <w:marRight w:val="0"/>
      <w:marTop w:val="0"/>
      <w:marBottom w:val="0"/>
      <w:divBdr>
        <w:top w:val="none" w:sz="0" w:space="0" w:color="auto"/>
        <w:left w:val="none" w:sz="0" w:space="0" w:color="auto"/>
        <w:bottom w:val="none" w:sz="0" w:space="0" w:color="auto"/>
        <w:right w:val="none" w:sz="0" w:space="0" w:color="auto"/>
      </w:divBdr>
    </w:div>
    <w:div w:id="986398192">
      <w:bodyDiv w:val="1"/>
      <w:marLeft w:val="0"/>
      <w:marRight w:val="0"/>
      <w:marTop w:val="0"/>
      <w:marBottom w:val="0"/>
      <w:divBdr>
        <w:top w:val="none" w:sz="0" w:space="0" w:color="auto"/>
        <w:left w:val="none" w:sz="0" w:space="0" w:color="auto"/>
        <w:bottom w:val="none" w:sz="0" w:space="0" w:color="auto"/>
        <w:right w:val="none" w:sz="0" w:space="0" w:color="auto"/>
      </w:divBdr>
    </w:div>
    <w:div w:id="1038581496">
      <w:bodyDiv w:val="1"/>
      <w:marLeft w:val="0"/>
      <w:marRight w:val="0"/>
      <w:marTop w:val="0"/>
      <w:marBottom w:val="0"/>
      <w:divBdr>
        <w:top w:val="none" w:sz="0" w:space="0" w:color="auto"/>
        <w:left w:val="none" w:sz="0" w:space="0" w:color="auto"/>
        <w:bottom w:val="none" w:sz="0" w:space="0" w:color="auto"/>
        <w:right w:val="none" w:sz="0" w:space="0" w:color="auto"/>
      </w:divBdr>
    </w:div>
    <w:div w:id="1335038019">
      <w:bodyDiv w:val="1"/>
      <w:marLeft w:val="0"/>
      <w:marRight w:val="0"/>
      <w:marTop w:val="0"/>
      <w:marBottom w:val="0"/>
      <w:divBdr>
        <w:top w:val="none" w:sz="0" w:space="0" w:color="auto"/>
        <w:left w:val="none" w:sz="0" w:space="0" w:color="auto"/>
        <w:bottom w:val="none" w:sz="0" w:space="0" w:color="auto"/>
        <w:right w:val="none" w:sz="0" w:space="0" w:color="auto"/>
      </w:divBdr>
    </w:div>
    <w:div w:id="1462915301">
      <w:bodyDiv w:val="1"/>
      <w:marLeft w:val="0"/>
      <w:marRight w:val="0"/>
      <w:marTop w:val="0"/>
      <w:marBottom w:val="0"/>
      <w:divBdr>
        <w:top w:val="none" w:sz="0" w:space="0" w:color="auto"/>
        <w:left w:val="none" w:sz="0" w:space="0" w:color="auto"/>
        <w:bottom w:val="none" w:sz="0" w:space="0" w:color="auto"/>
        <w:right w:val="none" w:sz="0" w:space="0" w:color="auto"/>
      </w:divBdr>
    </w:div>
    <w:div w:id="1528980527">
      <w:bodyDiv w:val="1"/>
      <w:marLeft w:val="0"/>
      <w:marRight w:val="0"/>
      <w:marTop w:val="0"/>
      <w:marBottom w:val="0"/>
      <w:divBdr>
        <w:top w:val="none" w:sz="0" w:space="0" w:color="auto"/>
        <w:left w:val="none" w:sz="0" w:space="0" w:color="auto"/>
        <w:bottom w:val="none" w:sz="0" w:space="0" w:color="auto"/>
        <w:right w:val="none" w:sz="0" w:space="0" w:color="auto"/>
      </w:divBdr>
    </w:div>
    <w:div w:id="1734501199">
      <w:bodyDiv w:val="1"/>
      <w:marLeft w:val="0"/>
      <w:marRight w:val="0"/>
      <w:marTop w:val="0"/>
      <w:marBottom w:val="0"/>
      <w:divBdr>
        <w:top w:val="none" w:sz="0" w:space="0" w:color="auto"/>
        <w:left w:val="none" w:sz="0" w:space="0" w:color="auto"/>
        <w:bottom w:val="none" w:sz="0" w:space="0" w:color="auto"/>
        <w:right w:val="none" w:sz="0" w:space="0" w:color="auto"/>
      </w:divBdr>
    </w:div>
    <w:div w:id="1793865019">
      <w:bodyDiv w:val="1"/>
      <w:marLeft w:val="0"/>
      <w:marRight w:val="0"/>
      <w:marTop w:val="0"/>
      <w:marBottom w:val="0"/>
      <w:divBdr>
        <w:top w:val="none" w:sz="0" w:space="0" w:color="auto"/>
        <w:left w:val="none" w:sz="0" w:space="0" w:color="auto"/>
        <w:bottom w:val="none" w:sz="0" w:space="0" w:color="auto"/>
        <w:right w:val="none" w:sz="0" w:space="0" w:color="auto"/>
      </w:divBdr>
    </w:div>
    <w:div w:id="1893148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aluepenguin.com/small-business/what-is-quick-ratio#t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nvestopedia.com/ask/answers/010915/what-proper-ratio-between-working-capital-current-assets-and-current-liabilities.as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britannica.com/topic/United-Technologies-Corporation" TargetMode="External"/><Relationship Id="rId4" Type="http://schemas.openxmlformats.org/officeDocument/2006/relationships/webSettings" Target="webSettings.xml"/><Relationship Id="rId9" Type="http://schemas.openxmlformats.org/officeDocument/2006/relationships/hyperlink" Target="https://finance.zacks.com/considered-good-eps-stock-market-293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6</Pages>
  <Words>980</Words>
  <Characters>5591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Elliott Williams</dc:creator>
  <cp:keywords/>
  <dc:description/>
  <cp:lastModifiedBy>Gordon Elliott Williams</cp:lastModifiedBy>
  <cp:revision>4</cp:revision>
  <dcterms:created xsi:type="dcterms:W3CDTF">2021-09-19T03:08:00Z</dcterms:created>
  <dcterms:modified xsi:type="dcterms:W3CDTF">2021-09-19T04:39:00Z</dcterms:modified>
</cp:coreProperties>
</file>