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2021" w14:textId="77777777" w:rsidR="00025EF4" w:rsidRPr="00341F76" w:rsidRDefault="00025EF4" w:rsidP="00025EF4">
      <w:pPr>
        <w:spacing w:line="480" w:lineRule="auto"/>
        <w:jc w:val="center"/>
        <w:rPr>
          <w:rFonts w:ascii="Times New Roman" w:hAnsi="Times New Roman" w:cs="Times New Roman"/>
          <w:sz w:val="24"/>
          <w:szCs w:val="24"/>
        </w:rPr>
      </w:pPr>
    </w:p>
    <w:p w14:paraId="07C5356F" w14:textId="77777777" w:rsidR="00025EF4" w:rsidRPr="00341F76" w:rsidRDefault="00025EF4" w:rsidP="00025EF4">
      <w:pPr>
        <w:spacing w:line="480" w:lineRule="auto"/>
        <w:jc w:val="center"/>
        <w:rPr>
          <w:rFonts w:ascii="Times New Roman" w:hAnsi="Times New Roman" w:cs="Times New Roman"/>
          <w:sz w:val="24"/>
          <w:szCs w:val="24"/>
        </w:rPr>
      </w:pPr>
    </w:p>
    <w:p w14:paraId="39585268" w14:textId="0B1B9726" w:rsidR="00371882" w:rsidRPr="00341F76" w:rsidRDefault="00025EF4" w:rsidP="00025EF4">
      <w:pPr>
        <w:spacing w:line="480" w:lineRule="auto"/>
        <w:jc w:val="center"/>
        <w:rPr>
          <w:rFonts w:ascii="Times New Roman" w:hAnsi="Times New Roman" w:cs="Times New Roman"/>
          <w:sz w:val="24"/>
          <w:szCs w:val="24"/>
        </w:rPr>
      </w:pPr>
      <w:r w:rsidRPr="00341F76">
        <w:rPr>
          <w:rFonts w:ascii="Times New Roman" w:hAnsi="Times New Roman" w:cs="Times New Roman"/>
          <w:sz w:val="24"/>
          <w:szCs w:val="24"/>
        </w:rPr>
        <w:t>Securing and Launching Gordon's Connecticut AI Educator System: A Comprehensive Strategy</w:t>
      </w:r>
    </w:p>
    <w:p w14:paraId="55990DC0" w14:textId="10D0C5CD" w:rsidR="00025EF4" w:rsidRPr="00341F76" w:rsidRDefault="00025EF4" w:rsidP="00025EF4">
      <w:pPr>
        <w:spacing w:line="480" w:lineRule="auto"/>
        <w:jc w:val="center"/>
        <w:rPr>
          <w:rFonts w:ascii="Times New Roman" w:hAnsi="Times New Roman" w:cs="Times New Roman"/>
          <w:sz w:val="24"/>
          <w:szCs w:val="24"/>
        </w:rPr>
      </w:pPr>
      <w:proofErr w:type="gramStart"/>
      <w:r w:rsidRPr="00341F76">
        <w:rPr>
          <w:rFonts w:ascii="Times New Roman" w:hAnsi="Times New Roman" w:cs="Times New Roman"/>
          <w:sz w:val="24"/>
          <w:szCs w:val="24"/>
        </w:rPr>
        <w:t>By</w:t>
      </w:r>
      <w:proofErr w:type="gramEnd"/>
    </w:p>
    <w:p w14:paraId="75C6CAF2" w14:textId="77777777" w:rsidR="00025EF4" w:rsidRPr="00341F76" w:rsidRDefault="00025EF4" w:rsidP="00025EF4">
      <w:pPr>
        <w:spacing w:line="480" w:lineRule="auto"/>
        <w:jc w:val="center"/>
        <w:rPr>
          <w:rFonts w:ascii="Times New Roman" w:hAnsi="Times New Roman" w:cs="Times New Roman"/>
          <w:sz w:val="24"/>
          <w:szCs w:val="24"/>
        </w:rPr>
      </w:pPr>
      <w:r w:rsidRPr="00341F76">
        <w:rPr>
          <w:rFonts w:ascii="Times New Roman" w:hAnsi="Times New Roman" w:cs="Times New Roman"/>
          <w:sz w:val="24"/>
          <w:szCs w:val="24"/>
        </w:rPr>
        <w:t>Gordon Elliott Williams, MS, MBA, BS, AS</w:t>
      </w:r>
    </w:p>
    <w:p w14:paraId="181F51D0" w14:textId="77777777" w:rsidR="00025EF4" w:rsidRPr="00341F76" w:rsidRDefault="00025EF4" w:rsidP="00025EF4">
      <w:pPr>
        <w:spacing w:line="480" w:lineRule="auto"/>
        <w:jc w:val="center"/>
        <w:rPr>
          <w:rFonts w:ascii="Times New Roman" w:hAnsi="Times New Roman" w:cs="Times New Roman"/>
          <w:sz w:val="24"/>
          <w:szCs w:val="24"/>
        </w:rPr>
      </w:pPr>
      <w:r w:rsidRPr="00341F76">
        <w:rPr>
          <w:rFonts w:ascii="Times New Roman" w:hAnsi="Times New Roman" w:cs="Times New Roman"/>
          <w:sz w:val="24"/>
          <w:szCs w:val="24"/>
        </w:rPr>
        <w:t>BIA 570-30 2025-26 Term 3</w:t>
      </w:r>
    </w:p>
    <w:p w14:paraId="715690CD" w14:textId="46286E61" w:rsidR="00025EF4" w:rsidRPr="00341F76" w:rsidRDefault="00025EF4" w:rsidP="00025EF4">
      <w:pPr>
        <w:spacing w:line="480" w:lineRule="auto"/>
        <w:jc w:val="center"/>
        <w:rPr>
          <w:rFonts w:ascii="Times New Roman" w:hAnsi="Times New Roman" w:cs="Times New Roman"/>
          <w:sz w:val="24"/>
          <w:szCs w:val="24"/>
        </w:rPr>
      </w:pPr>
      <w:r w:rsidRPr="00341F76">
        <w:rPr>
          <w:rFonts w:ascii="Times New Roman" w:hAnsi="Times New Roman" w:cs="Times New Roman"/>
          <w:sz w:val="24"/>
          <w:szCs w:val="24"/>
        </w:rPr>
        <w:t>Strategic Management of Technology and Innovation</w:t>
      </w:r>
    </w:p>
    <w:p w14:paraId="70B9FCC2" w14:textId="29C7E5E7" w:rsidR="00025EF4" w:rsidRPr="00341F76" w:rsidRDefault="00025EF4" w:rsidP="00025EF4">
      <w:pPr>
        <w:spacing w:line="480" w:lineRule="auto"/>
        <w:jc w:val="center"/>
        <w:rPr>
          <w:rFonts w:ascii="Times New Roman" w:hAnsi="Times New Roman" w:cs="Times New Roman"/>
          <w:sz w:val="24"/>
          <w:szCs w:val="24"/>
        </w:rPr>
      </w:pPr>
      <w:r w:rsidRPr="00341F76">
        <w:rPr>
          <w:rFonts w:ascii="Times New Roman" w:hAnsi="Times New Roman" w:cs="Times New Roman"/>
          <w:sz w:val="24"/>
          <w:szCs w:val="24"/>
        </w:rPr>
        <w:t>Unit 6 Assignment</w:t>
      </w:r>
    </w:p>
    <w:p w14:paraId="42DC9A3F" w14:textId="09264745" w:rsidR="00025EF4" w:rsidRPr="00341F76" w:rsidRDefault="00025EF4" w:rsidP="00025EF4">
      <w:pPr>
        <w:spacing w:line="480" w:lineRule="auto"/>
        <w:jc w:val="center"/>
        <w:rPr>
          <w:rFonts w:ascii="Times New Roman" w:hAnsi="Times New Roman" w:cs="Times New Roman"/>
          <w:sz w:val="24"/>
          <w:szCs w:val="24"/>
        </w:rPr>
      </w:pPr>
      <w:r w:rsidRPr="00341F76">
        <w:rPr>
          <w:rFonts w:ascii="Times New Roman" w:hAnsi="Times New Roman" w:cs="Times New Roman"/>
          <w:sz w:val="24"/>
          <w:szCs w:val="24"/>
        </w:rPr>
        <w:t>Dr. Mike Saxton</w:t>
      </w:r>
    </w:p>
    <w:p w14:paraId="284BBDDA" w14:textId="340F4CA0" w:rsidR="00FC7793" w:rsidRPr="00341F76" w:rsidRDefault="00FC7793">
      <w:pPr>
        <w:rPr>
          <w:rFonts w:ascii="Times New Roman" w:hAnsi="Times New Roman" w:cs="Times New Roman"/>
          <w:sz w:val="24"/>
          <w:szCs w:val="24"/>
        </w:rPr>
      </w:pPr>
      <w:r w:rsidRPr="00341F76">
        <w:rPr>
          <w:rFonts w:ascii="Times New Roman" w:hAnsi="Times New Roman" w:cs="Times New Roman"/>
          <w:sz w:val="24"/>
          <w:szCs w:val="24"/>
        </w:rPr>
        <w:br w:type="page"/>
      </w:r>
    </w:p>
    <w:p w14:paraId="4C030413" w14:textId="2248F486" w:rsidR="00FC7793" w:rsidRPr="00FC7793" w:rsidRDefault="00FC7793" w:rsidP="00341F76">
      <w:pPr>
        <w:spacing w:line="480" w:lineRule="auto"/>
        <w:ind w:firstLine="720"/>
        <w:rPr>
          <w:rFonts w:ascii="Times New Roman" w:hAnsi="Times New Roman" w:cs="Times New Roman"/>
          <w:sz w:val="24"/>
          <w:szCs w:val="24"/>
        </w:rPr>
      </w:pPr>
      <w:r w:rsidRPr="00FC7793">
        <w:rPr>
          <w:rFonts w:ascii="Times New Roman" w:hAnsi="Times New Roman" w:cs="Times New Roman"/>
          <w:sz w:val="24"/>
          <w:szCs w:val="24"/>
        </w:rPr>
        <w:lastRenderedPageBreak/>
        <w:t>The development and deployment of an innovative product, such as "Gordon's Connecticut AI Educator System" (GCAIES), requires a cohesive strategy that integrates intellectual property (IP) protection, a robust funding model, and a targeted monetization strategy. GCAIES is a unique AI-driven educational platform designed to assist and educate K-12 students, focusing primarily on STEM topics. Its primary value proposition is to enhance educator efficiency, allowing for larger class sizes while simultaneously improving student performance in preparation for an AI-driven global economy. This paper outlines the essential steps—legal, financial, and strategic—needed to transform this promising idea into a financially viable and legally secure enterprise, referencing established academic principles and real-world business practices.</w:t>
      </w:r>
    </w:p>
    <w:p w14:paraId="2AC03B33" w14:textId="77777777" w:rsidR="00FC7793" w:rsidRPr="00FC7793" w:rsidRDefault="00FC7793" w:rsidP="00FC7793">
      <w:pPr>
        <w:spacing w:line="480" w:lineRule="auto"/>
        <w:rPr>
          <w:rFonts w:ascii="Times New Roman" w:hAnsi="Times New Roman" w:cs="Times New Roman"/>
          <w:sz w:val="24"/>
          <w:szCs w:val="24"/>
        </w:rPr>
      </w:pPr>
      <w:r w:rsidRPr="00FC7793">
        <w:rPr>
          <w:rFonts w:ascii="Times New Roman" w:hAnsi="Times New Roman" w:cs="Times New Roman"/>
          <w:sz w:val="24"/>
          <w:szCs w:val="24"/>
        </w:rPr>
        <w:pict w14:anchorId="32386498">
          <v:rect id="_x0000_i1043" style="width:0;height:1.5pt" o:hralign="center" o:hrstd="t" o:hr="t" fillcolor="#a0a0a0" stroked="f"/>
        </w:pict>
      </w:r>
    </w:p>
    <w:p w14:paraId="2BABD564" w14:textId="77777777" w:rsidR="00FC7793" w:rsidRPr="00FC7793" w:rsidRDefault="00FC7793" w:rsidP="00341F76">
      <w:pPr>
        <w:spacing w:line="480" w:lineRule="auto"/>
        <w:jc w:val="center"/>
        <w:rPr>
          <w:rFonts w:ascii="Times New Roman" w:hAnsi="Times New Roman" w:cs="Times New Roman"/>
          <w:sz w:val="24"/>
          <w:szCs w:val="24"/>
        </w:rPr>
      </w:pPr>
      <w:r w:rsidRPr="00FC7793">
        <w:rPr>
          <w:rFonts w:ascii="Segoe UI Emoji" w:hAnsi="Segoe UI Emoji" w:cs="Segoe UI Emoji"/>
          <w:sz w:val="24"/>
          <w:szCs w:val="24"/>
        </w:rPr>
        <w:t>💡</w:t>
      </w:r>
      <w:r w:rsidRPr="00FC7793">
        <w:rPr>
          <w:rFonts w:ascii="Times New Roman" w:hAnsi="Times New Roman" w:cs="Times New Roman"/>
          <w:sz w:val="24"/>
          <w:szCs w:val="24"/>
        </w:rPr>
        <w:t xml:space="preserve"> Intellectual Property Strategy: A Layered Defense</w:t>
      </w:r>
    </w:p>
    <w:p w14:paraId="7A262A34" w14:textId="77777777" w:rsidR="00FC7793" w:rsidRPr="00FC7793" w:rsidRDefault="00FC7793" w:rsidP="00341F76">
      <w:pPr>
        <w:spacing w:line="480" w:lineRule="auto"/>
        <w:ind w:firstLine="720"/>
        <w:rPr>
          <w:rFonts w:ascii="Times New Roman" w:hAnsi="Times New Roman" w:cs="Times New Roman"/>
          <w:sz w:val="24"/>
          <w:szCs w:val="24"/>
        </w:rPr>
      </w:pPr>
      <w:r w:rsidRPr="00FC7793">
        <w:rPr>
          <w:rFonts w:ascii="Times New Roman" w:hAnsi="Times New Roman" w:cs="Times New Roman"/>
          <w:sz w:val="24"/>
          <w:szCs w:val="24"/>
        </w:rPr>
        <w:t>The nature of GCAIES—a system combining proprietary AI algorithms, educational content, and a distinct brand identity—mandates a layered Intellectual Property (IP) strategy utilizing multiple forms of protection to create an impermeable legal barrier against competitors.</w:t>
      </w:r>
    </w:p>
    <w:p w14:paraId="252DF4AB" w14:textId="77777777" w:rsidR="00FC7793" w:rsidRPr="00FC7793" w:rsidRDefault="00FC7793" w:rsidP="00FC7793">
      <w:pPr>
        <w:spacing w:line="480" w:lineRule="auto"/>
        <w:rPr>
          <w:rFonts w:ascii="Times New Roman" w:hAnsi="Times New Roman" w:cs="Times New Roman"/>
          <w:sz w:val="24"/>
          <w:szCs w:val="24"/>
        </w:rPr>
      </w:pPr>
      <w:r w:rsidRPr="00FC7793">
        <w:rPr>
          <w:rFonts w:ascii="Times New Roman" w:hAnsi="Times New Roman" w:cs="Times New Roman"/>
          <w:sz w:val="24"/>
          <w:szCs w:val="24"/>
        </w:rPr>
        <w:t>Core IP Protection Forms</w:t>
      </w:r>
    </w:p>
    <w:p w14:paraId="6F100DA0" w14:textId="77777777" w:rsidR="00FC7793" w:rsidRPr="00FC7793" w:rsidRDefault="00FC7793" w:rsidP="00FC7793">
      <w:pPr>
        <w:spacing w:line="480" w:lineRule="auto"/>
        <w:rPr>
          <w:rFonts w:ascii="Times New Roman" w:hAnsi="Times New Roman" w:cs="Times New Roman"/>
          <w:sz w:val="24"/>
          <w:szCs w:val="24"/>
        </w:rPr>
      </w:pPr>
      <w:r w:rsidRPr="00FC7793">
        <w:rPr>
          <w:rFonts w:ascii="Times New Roman" w:hAnsi="Times New Roman" w:cs="Times New Roman"/>
          <w:sz w:val="24"/>
          <w:szCs w:val="24"/>
        </w:rPr>
        <w:t>For GCAIES, the following three IP forms are crucial:</w:t>
      </w:r>
    </w:p>
    <w:p w14:paraId="55E7943B" w14:textId="77777777" w:rsidR="00FC7793" w:rsidRPr="00FC7793" w:rsidRDefault="00FC7793" w:rsidP="00FC7793">
      <w:pPr>
        <w:numPr>
          <w:ilvl w:val="0"/>
          <w:numId w:val="1"/>
        </w:numPr>
        <w:spacing w:line="480" w:lineRule="auto"/>
        <w:rPr>
          <w:rFonts w:ascii="Times New Roman" w:hAnsi="Times New Roman" w:cs="Times New Roman"/>
          <w:sz w:val="24"/>
          <w:szCs w:val="24"/>
        </w:rPr>
      </w:pPr>
      <w:r w:rsidRPr="00FC7793">
        <w:rPr>
          <w:rFonts w:ascii="Times New Roman" w:hAnsi="Times New Roman" w:cs="Times New Roman"/>
          <w:sz w:val="24"/>
          <w:szCs w:val="24"/>
        </w:rPr>
        <w:t>Utility Patent: Protects the functional innovation—the core AI algorithms, methods, and processes used for personalized education, accurate testing, and real-time student assistance.</w:t>
      </w:r>
    </w:p>
    <w:p w14:paraId="302E84DC" w14:textId="77777777" w:rsidR="00FC7793" w:rsidRPr="00FC7793" w:rsidRDefault="00FC7793" w:rsidP="00FC7793">
      <w:pPr>
        <w:numPr>
          <w:ilvl w:val="0"/>
          <w:numId w:val="1"/>
        </w:numPr>
        <w:spacing w:line="480" w:lineRule="auto"/>
        <w:rPr>
          <w:rFonts w:ascii="Times New Roman" w:hAnsi="Times New Roman" w:cs="Times New Roman"/>
          <w:sz w:val="24"/>
          <w:szCs w:val="24"/>
        </w:rPr>
      </w:pPr>
      <w:r w:rsidRPr="00FC7793">
        <w:rPr>
          <w:rFonts w:ascii="Times New Roman" w:hAnsi="Times New Roman" w:cs="Times New Roman"/>
          <w:sz w:val="24"/>
          <w:szCs w:val="24"/>
        </w:rPr>
        <w:t>Copyright: Protects the expressive content—the educational materials (text, graphics, video lectures), the user interface (UI) design, and the underlying source code of the platform.</w:t>
      </w:r>
    </w:p>
    <w:p w14:paraId="03ABB535" w14:textId="77777777" w:rsidR="00FC7793" w:rsidRPr="00FC7793" w:rsidRDefault="00FC7793" w:rsidP="00FC7793">
      <w:pPr>
        <w:numPr>
          <w:ilvl w:val="0"/>
          <w:numId w:val="1"/>
        </w:numPr>
        <w:spacing w:line="480" w:lineRule="auto"/>
        <w:rPr>
          <w:rFonts w:ascii="Times New Roman" w:hAnsi="Times New Roman" w:cs="Times New Roman"/>
          <w:sz w:val="24"/>
          <w:szCs w:val="24"/>
        </w:rPr>
      </w:pPr>
      <w:r w:rsidRPr="00FC7793">
        <w:rPr>
          <w:rFonts w:ascii="Times New Roman" w:hAnsi="Times New Roman" w:cs="Times New Roman"/>
          <w:sz w:val="24"/>
          <w:szCs w:val="24"/>
        </w:rPr>
        <w:lastRenderedPageBreak/>
        <w:t>Trademark: Protects the brand identity—the name "Gordon's Connecticut AI Educator System," its logo, and any associated taglines used to distinguish the product in the marketplace.</w:t>
      </w:r>
    </w:p>
    <w:p w14:paraId="6D535817" w14:textId="77777777" w:rsidR="00FC7793" w:rsidRPr="00FC7793" w:rsidRDefault="00FC7793" w:rsidP="00341F76">
      <w:pPr>
        <w:spacing w:line="480" w:lineRule="auto"/>
        <w:jc w:val="center"/>
        <w:rPr>
          <w:rFonts w:ascii="Times New Roman" w:hAnsi="Times New Roman" w:cs="Times New Roman"/>
          <w:sz w:val="24"/>
          <w:szCs w:val="24"/>
        </w:rPr>
      </w:pPr>
      <w:r w:rsidRPr="00FC7793">
        <w:rPr>
          <w:rFonts w:ascii="Segoe UI Emoji" w:hAnsi="Segoe UI Emoji" w:cs="Segoe UI Emoji"/>
          <w:sz w:val="24"/>
          <w:szCs w:val="24"/>
        </w:rPr>
        <w:t>🛡️</w:t>
      </w:r>
      <w:r w:rsidRPr="00FC7793">
        <w:rPr>
          <w:rFonts w:ascii="Times New Roman" w:hAnsi="Times New Roman" w:cs="Times New Roman"/>
          <w:sz w:val="24"/>
          <w:szCs w:val="24"/>
        </w:rPr>
        <w:t xml:space="preserve"> Justification for Patent and Copyright Emphasis</w:t>
      </w:r>
    </w:p>
    <w:p w14:paraId="31676025" w14:textId="6FABF351" w:rsidR="00FC7793" w:rsidRPr="00FC7793" w:rsidRDefault="00FC7793" w:rsidP="00EC1750">
      <w:pPr>
        <w:spacing w:line="480" w:lineRule="auto"/>
        <w:ind w:firstLine="360"/>
        <w:rPr>
          <w:rFonts w:ascii="Times New Roman" w:hAnsi="Times New Roman" w:cs="Times New Roman"/>
          <w:sz w:val="24"/>
          <w:szCs w:val="24"/>
        </w:rPr>
      </w:pPr>
      <w:r w:rsidRPr="00FC7793">
        <w:rPr>
          <w:rFonts w:ascii="Times New Roman" w:hAnsi="Times New Roman" w:cs="Times New Roman"/>
          <w:sz w:val="24"/>
          <w:szCs w:val="24"/>
        </w:rPr>
        <w:t>While all three are necessary, the strategy should heavily prioritize Utility Patents and Copyright due to the nature of the innovation</w:t>
      </w:r>
      <w:r w:rsidR="00EC1750">
        <w:rPr>
          <w:rFonts w:ascii="Times New Roman" w:hAnsi="Times New Roman" w:cs="Times New Roman"/>
          <w:sz w:val="24"/>
          <w:szCs w:val="24"/>
        </w:rPr>
        <w:t xml:space="preserve"> </w:t>
      </w:r>
      <w:r w:rsidR="00EC1750" w:rsidRPr="00EC1750">
        <w:rPr>
          <w:rFonts w:ascii="Times New Roman" w:hAnsi="Times New Roman" w:cs="Times New Roman"/>
          <w:sz w:val="24"/>
          <w:szCs w:val="24"/>
        </w:rPr>
        <w:t xml:space="preserve">(All Up </w:t>
      </w:r>
      <w:proofErr w:type="gramStart"/>
      <w:r w:rsidR="00EC1750" w:rsidRPr="00EC1750">
        <w:rPr>
          <w:rFonts w:ascii="Times New Roman" w:hAnsi="Times New Roman" w:cs="Times New Roman"/>
          <w:sz w:val="24"/>
          <w:szCs w:val="24"/>
        </w:rPr>
        <w:t>In</w:t>
      </w:r>
      <w:proofErr w:type="gramEnd"/>
      <w:r w:rsidR="00EC1750" w:rsidRPr="00EC1750">
        <w:rPr>
          <w:rFonts w:ascii="Times New Roman" w:hAnsi="Times New Roman" w:cs="Times New Roman"/>
          <w:sz w:val="24"/>
          <w:szCs w:val="24"/>
        </w:rPr>
        <w:t xml:space="preserve"> </w:t>
      </w:r>
      <w:proofErr w:type="spellStart"/>
      <w:r w:rsidR="00EC1750" w:rsidRPr="00EC1750">
        <w:rPr>
          <w:rFonts w:ascii="Times New Roman" w:hAnsi="Times New Roman" w:cs="Times New Roman"/>
          <w:sz w:val="24"/>
          <w:szCs w:val="24"/>
        </w:rPr>
        <w:t>Yo</w:t>
      </w:r>
      <w:proofErr w:type="spellEnd"/>
      <w:r w:rsidR="00EC1750" w:rsidRPr="00EC1750">
        <w:rPr>
          <w:rFonts w:ascii="Times New Roman" w:hAnsi="Times New Roman" w:cs="Times New Roman"/>
          <w:sz w:val="24"/>
          <w:szCs w:val="24"/>
        </w:rPr>
        <w:t>’ Business with Attorney Aiden Durham, 2020)</w:t>
      </w:r>
      <w:r w:rsidRPr="00FC7793">
        <w:rPr>
          <w:rFonts w:ascii="Times New Roman" w:hAnsi="Times New Roman" w:cs="Times New Roman"/>
          <w:sz w:val="24"/>
          <w:szCs w:val="24"/>
        </w:rPr>
        <w:t>:</w:t>
      </w:r>
    </w:p>
    <w:p w14:paraId="65E03398" w14:textId="77777777" w:rsidR="00FC7793" w:rsidRPr="00FC7793" w:rsidRDefault="00FC7793" w:rsidP="00FC7793">
      <w:pPr>
        <w:numPr>
          <w:ilvl w:val="0"/>
          <w:numId w:val="2"/>
        </w:numPr>
        <w:spacing w:line="480" w:lineRule="auto"/>
        <w:rPr>
          <w:rFonts w:ascii="Times New Roman" w:hAnsi="Times New Roman" w:cs="Times New Roman"/>
          <w:sz w:val="24"/>
          <w:szCs w:val="24"/>
        </w:rPr>
      </w:pPr>
      <w:r w:rsidRPr="00FC7793">
        <w:rPr>
          <w:rFonts w:ascii="Times New Roman" w:hAnsi="Times New Roman" w:cs="Times New Roman"/>
          <w:sz w:val="24"/>
          <w:szCs w:val="24"/>
        </w:rPr>
        <w:t xml:space="preserve">Innovation Type: GCAIES is a functionally novel AI system. Its primary value lies not just in the data it uses (which could be public domain), but in the unique methodology it employs to adapt educational delivery and assess comprehension. A Utility Patent is the </w:t>
      </w:r>
      <w:r w:rsidRPr="00FC7793">
        <w:rPr>
          <w:rFonts w:ascii="Times New Roman" w:hAnsi="Times New Roman" w:cs="Times New Roman"/>
          <w:i/>
          <w:iCs/>
          <w:sz w:val="24"/>
          <w:szCs w:val="24"/>
        </w:rPr>
        <w:t>only</w:t>
      </w:r>
      <w:r w:rsidRPr="00FC7793">
        <w:rPr>
          <w:rFonts w:ascii="Times New Roman" w:hAnsi="Times New Roman" w:cs="Times New Roman"/>
          <w:sz w:val="24"/>
          <w:szCs w:val="24"/>
        </w:rPr>
        <w:t xml:space="preserve"> mechanism that grants a twenty-year monopoly over the </w:t>
      </w:r>
      <w:r w:rsidRPr="00FC7793">
        <w:rPr>
          <w:rFonts w:ascii="Times New Roman" w:hAnsi="Times New Roman" w:cs="Times New Roman"/>
          <w:i/>
          <w:iCs/>
          <w:sz w:val="24"/>
          <w:szCs w:val="24"/>
        </w:rPr>
        <w:t>function</w:t>
      </w:r>
      <w:r w:rsidRPr="00FC7793">
        <w:rPr>
          <w:rFonts w:ascii="Times New Roman" w:hAnsi="Times New Roman" w:cs="Times New Roman"/>
          <w:sz w:val="24"/>
          <w:szCs w:val="24"/>
        </w:rPr>
        <w:t xml:space="preserve"> of the AI system, preventing a competitor from simply rewriting the code (a copyright issue) to replicate the core educational process (a patent issue) (Lemley, 2015). Without patent protection, the core AI teaching method could be legally copied.</w:t>
      </w:r>
    </w:p>
    <w:p w14:paraId="65284B59" w14:textId="77777777" w:rsidR="00FC7793" w:rsidRPr="00FC7793" w:rsidRDefault="00FC7793" w:rsidP="00FC7793">
      <w:pPr>
        <w:numPr>
          <w:ilvl w:val="0"/>
          <w:numId w:val="2"/>
        </w:numPr>
        <w:spacing w:line="480" w:lineRule="auto"/>
        <w:rPr>
          <w:rFonts w:ascii="Times New Roman" w:hAnsi="Times New Roman" w:cs="Times New Roman"/>
          <w:sz w:val="24"/>
          <w:szCs w:val="24"/>
        </w:rPr>
      </w:pPr>
      <w:r w:rsidRPr="00FC7793">
        <w:rPr>
          <w:rFonts w:ascii="Times New Roman" w:hAnsi="Times New Roman" w:cs="Times New Roman"/>
          <w:sz w:val="24"/>
          <w:szCs w:val="24"/>
        </w:rPr>
        <w:t xml:space="preserve">Development Timeline and Competitive Landscape: AI development involves significant upfront investment and time. A granted patent provides a strong deterrent in a highly competitive EdTech landscape. Competitors, especially large educational publishers or tech firms, have the resources to reverse-engineer software (a risk mitigated by Copyright), but avoiding a </w:t>
      </w:r>
      <w:proofErr w:type="gramStart"/>
      <w:r w:rsidRPr="00FC7793">
        <w:rPr>
          <w:rFonts w:ascii="Times New Roman" w:hAnsi="Times New Roman" w:cs="Times New Roman"/>
          <w:sz w:val="24"/>
          <w:szCs w:val="24"/>
        </w:rPr>
        <w:t>patented</w:t>
      </w:r>
      <w:proofErr w:type="gramEnd"/>
      <w:r w:rsidRPr="00FC7793">
        <w:rPr>
          <w:rFonts w:ascii="Times New Roman" w:hAnsi="Times New Roman" w:cs="Times New Roman"/>
          <w:sz w:val="24"/>
          <w:szCs w:val="24"/>
        </w:rPr>
        <w:t xml:space="preserve"> process is significantly harder and riskier. Furthermore, the copyright on the source code and educational content immediately protects GCAIES from unauthorized duplication the moment the code is written and content is created, providing rapid, low-cost protection while the lengthy patent application process is underway (World Intellectual Property Organization, 2021). Trade Secrets are less ideal here because of the </w:t>
      </w:r>
      <w:r w:rsidRPr="00FC7793">
        <w:rPr>
          <w:rFonts w:ascii="Times New Roman" w:hAnsi="Times New Roman" w:cs="Times New Roman"/>
          <w:sz w:val="24"/>
          <w:szCs w:val="24"/>
        </w:rPr>
        <w:lastRenderedPageBreak/>
        <w:t xml:space="preserve">need to widely distribute the product (making reverse engineering possible) and the desire to openly market the system's innovative capabilities. </w:t>
      </w:r>
      <w:proofErr w:type="gramStart"/>
      <w:r w:rsidRPr="00FC7793">
        <w:rPr>
          <w:rFonts w:ascii="Times New Roman" w:hAnsi="Times New Roman" w:cs="Times New Roman"/>
          <w:sz w:val="24"/>
          <w:szCs w:val="24"/>
        </w:rPr>
        <w:t>Open-source</w:t>
      </w:r>
      <w:proofErr w:type="gramEnd"/>
      <w:r w:rsidRPr="00FC7793">
        <w:rPr>
          <w:rFonts w:ascii="Times New Roman" w:hAnsi="Times New Roman" w:cs="Times New Roman"/>
          <w:sz w:val="24"/>
          <w:szCs w:val="24"/>
        </w:rPr>
        <w:t xml:space="preserve"> would directly undermine the revenue model based on proprietary control.</w:t>
      </w:r>
    </w:p>
    <w:p w14:paraId="55DF7C35" w14:textId="77777777" w:rsidR="00FC7793" w:rsidRPr="00FC7793" w:rsidRDefault="00FC7793" w:rsidP="00341F76">
      <w:pPr>
        <w:spacing w:line="480" w:lineRule="auto"/>
        <w:ind w:firstLine="360"/>
        <w:rPr>
          <w:rFonts w:ascii="Times New Roman" w:hAnsi="Times New Roman" w:cs="Times New Roman"/>
          <w:sz w:val="24"/>
          <w:szCs w:val="24"/>
        </w:rPr>
      </w:pPr>
      <w:r w:rsidRPr="00FC7793">
        <w:rPr>
          <w:rFonts w:ascii="Times New Roman" w:hAnsi="Times New Roman" w:cs="Times New Roman"/>
          <w:sz w:val="24"/>
          <w:szCs w:val="24"/>
        </w:rPr>
        <w:t xml:space="preserve">In short, the Utility Patent secures the "how it teaches," while the Copyright secures the "what it is made of" (the code and content), creating a defensible and </w:t>
      </w:r>
      <w:proofErr w:type="gramStart"/>
      <w:r w:rsidRPr="00FC7793">
        <w:rPr>
          <w:rFonts w:ascii="Times New Roman" w:hAnsi="Times New Roman" w:cs="Times New Roman"/>
          <w:sz w:val="24"/>
          <w:szCs w:val="24"/>
        </w:rPr>
        <w:t>valuable asset</w:t>
      </w:r>
      <w:proofErr w:type="gramEnd"/>
      <w:r w:rsidRPr="00FC7793">
        <w:rPr>
          <w:rFonts w:ascii="Times New Roman" w:hAnsi="Times New Roman" w:cs="Times New Roman"/>
          <w:sz w:val="24"/>
          <w:szCs w:val="24"/>
        </w:rPr>
        <w:t xml:space="preserve"> necessary to attract high-level investment.</w:t>
      </w:r>
    </w:p>
    <w:p w14:paraId="79ACE626" w14:textId="77777777" w:rsidR="00FC7793" w:rsidRPr="00FC7793" w:rsidRDefault="00FC7793" w:rsidP="00FC7793">
      <w:pPr>
        <w:spacing w:line="480" w:lineRule="auto"/>
        <w:rPr>
          <w:rFonts w:ascii="Times New Roman" w:hAnsi="Times New Roman" w:cs="Times New Roman"/>
          <w:sz w:val="24"/>
          <w:szCs w:val="24"/>
        </w:rPr>
      </w:pPr>
      <w:r w:rsidRPr="00FC7793">
        <w:rPr>
          <w:rFonts w:ascii="Times New Roman" w:hAnsi="Times New Roman" w:cs="Times New Roman"/>
          <w:sz w:val="24"/>
          <w:szCs w:val="24"/>
        </w:rPr>
        <w:pict w14:anchorId="3877DCC8">
          <v:rect id="_x0000_i1044" style="width:0;height:1.5pt" o:hralign="center" o:hrstd="t" o:hr="t" fillcolor="#a0a0a0" stroked="f"/>
        </w:pict>
      </w:r>
    </w:p>
    <w:p w14:paraId="79064B65" w14:textId="77777777" w:rsidR="00FC7793" w:rsidRPr="00FC7793" w:rsidRDefault="00FC7793" w:rsidP="00341F76">
      <w:pPr>
        <w:spacing w:line="480" w:lineRule="auto"/>
        <w:jc w:val="center"/>
        <w:rPr>
          <w:rFonts w:ascii="Times New Roman" w:hAnsi="Times New Roman" w:cs="Times New Roman"/>
          <w:sz w:val="24"/>
          <w:szCs w:val="24"/>
        </w:rPr>
      </w:pPr>
      <w:r w:rsidRPr="00FC7793">
        <w:rPr>
          <w:rFonts w:ascii="Segoe UI Emoji" w:hAnsi="Segoe UI Emoji" w:cs="Segoe UI Emoji"/>
          <w:sz w:val="24"/>
          <w:szCs w:val="24"/>
        </w:rPr>
        <w:t>💰</w:t>
      </w:r>
      <w:r w:rsidRPr="00FC7793">
        <w:rPr>
          <w:rFonts w:ascii="Times New Roman" w:hAnsi="Times New Roman" w:cs="Times New Roman"/>
          <w:sz w:val="24"/>
          <w:szCs w:val="24"/>
        </w:rPr>
        <w:t xml:space="preserve"> Funding Model: Prioritizing Venture Capital</w:t>
      </w:r>
    </w:p>
    <w:p w14:paraId="01874AD2" w14:textId="100B0A55" w:rsidR="00FC7793" w:rsidRPr="00FC7793" w:rsidRDefault="00FC7793" w:rsidP="00EC1750">
      <w:pPr>
        <w:spacing w:line="480" w:lineRule="auto"/>
        <w:ind w:firstLine="720"/>
        <w:rPr>
          <w:rFonts w:ascii="Times New Roman" w:hAnsi="Times New Roman" w:cs="Times New Roman"/>
          <w:sz w:val="24"/>
          <w:szCs w:val="24"/>
        </w:rPr>
      </w:pPr>
      <w:r w:rsidRPr="00FC7793">
        <w:rPr>
          <w:rFonts w:ascii="Times New Roman" w:hAnsi="Times New Roman" w:cs="Times New Roman"/>
          <w:sz w:val="24"/>
          <w:szCs w:val="24"/>
        </w:rPr>
        <w:t>To successfully launch an ambitious, high-tech, and high-impact product like GCAIES into the K-12 market, the proposed funding strategy is a multi-stage approach heavily reliant on Venture Capital (VC), supplemented by initial Angel Investment and Strategic Grants</w:t>
      </w:r>
      <w:r w:rsidR="00EC1750">
        <w:rPr>
          <w:rFonts w:ascii="Times New Roman" w:hAnsi="Times New Roman" w:cs="Times New Roman"/>
          <w:sz w:val="24"/>
          <w:szCs w:val="24"/>
        </w:rPr>
        <w:t xml:space="preserve"> </w:t>
      </w:r>
      <w:r w:rsidR="00EC1750" w:rsidRPr="00EC1750">
        <w:rPr>
          <w:rFonts w:ascii="Times New Roman" w:hAnsi="Times New Roman" w:cs="Times New Roman"/>
          <w:sz w:val="24"/>
          <w:szCs w:val="24"/>
        </w:rPr>
        <w:t>(Nate O’Brien, 2023)</w:t>
      </w:r>
      <w:r w:rsidRPr="00FC7793">
        <w:rPr>
          <w:rFonts w:ascii="Times New Roman" w:hAnsi="Times New Roman" w:cs="Times New Roman"/>
          <w:sz w:val="24"/>
          <w:szCs w:val="24"/>
        </w:rPr>
        <w:t>.</w:t>
      </w:r>
    </w:p>
    <w:p w14:paraId="3E4E07C5" w14:textId="77777777" w:rsidR="00FC7793" w:rsidRPr="00FC7793" w:rsidRDefault="00FC7793" w:rsidP="00FC7793">
      <w:pPr>
        <w:spacing w:line="480" w:lineRule="auto"/>
        <w:rPr>
          <w:rFonts w:ascii="Times New Roman" w:hAnsi="Times New Roman" w:cs="Times New Roman"/>
          <w:sz w:val="24"/>
          <w:szCs w:val="24"/>
        </w:rPr>
      </w:pPr>
      <w:r w:rsidRPr="00FC7793">
        <w:rPr>
          <w:rFonts w:ascii="Times New Roman" w:hAnsi="Times New Roman" w:cs="Times New Roman"/>
          <w:sz w:val="24"/>
          <w:szCs w:val="24"/>
        </w:rPr>
        <w:t>Proposed Funding Strategy</w:t>
      </w:r>
    </w:p>
    <w:p w14:paraId="528CF439" w14:textId="77777777" w:rsidR="00FC7793" w:rsidRPr="00FC7793" w:rsidRDefault="00FC7793" w:rsidP="00FC7793">
      <w:pPr>
        <w:numPr>
          <w:ilvl w:val="0"/>
          <w:numId w:val="3"/>
        </w:numPr>
        <w:spacing w:line="480" w:lineRule="auto"/>
        <w:rPr>
          <w:rFonts w:ascii="Times New Roman" w:hAnsi="Times New Roman" w:cs="Times New Roman"/>
          <w:sz w:val="24"/>
          <w:szCs w:val="24"/>
        </w:rPr>
      </w:pPr>
      <w:r w:rsidRPr="00FC7793">
        <w:rPr>
          <w:rFonts w:ascii="Times New Roman" w:hAnsi="Times New Roman" w:cs="Times New Roman"/>
          <w:sz w:val="24"/>
          <w:szCs w:val="24"/>
        </w:rPr>
        <w:t>Seed Stage (Initial Capital): Angel Investors &amp; Small Business Grants: Used for completing the minimum viable product (MVP), acquiring initial pilot school data, and securing initial patents. Angels are crucial for early belief and flexibility. Grants (e.g., Small Business Innovation Research—SBIR, or education-focused non-profit grants) provide non-dilutive capital, which is critical for maximizing founder equity early on (Lerner, 2012).</w:t>
      </w:r>
    </w:p>
    <w:p w14:paraId="048203FB" w14:textId="62449729" w:rsidR="00FC7793" w:rsidRPr="00FC7793" w:rsidRDefault="00FC7793" w:rsidP="00341F76">
      <w:pPr>
        <w:numPr>
          <w:ilvl w:val="0"/>
          <w:numId w:val="3"/>
        </w:numPr>
        <w:spacing w:line="480" w:lineRule="auto"/>
        <w:rPr>
          <w:rFonts w:ascii="Times New Roman" w:hAnsi="Times New Roman" w:cs="Times New Roman"/>
          <w:sz w:val="24"/>
          <w:szCs w:val="24"/>
        </w:rPr>
      </w:pPr>
      <w:r w:rsidRPr="00FC7793">
        <w:rPr>
          <w:rFonts w:ascii="Times New Roman" w:hAnsi="Times New Roman" w:cs="Times New Roman"/>
          <w:sz w:val="24"/>
          <w:szCs w:val="24"/>
        </w:rPr>
        <w:t>Series A/B (Growth Capital)</w:t>
      </w:r>
      <w:r w:rsidR="00341F76">
        <w:rPr>
          <w:rFonts w:ascii="Times New Roman" w:hAnsi="Times New Roman" w:cs="Times New Roman"/>
          <w:sz w:val="24"/>
          <w:szCs w:val="24"/>
        </w:rPr>
        <w:t xml:space="preserve"> </w:t>
      </w:r>
      <w:r w:rsidR="00341F76" w:rsidRPr="00341F76">
        <w:rPr>
          <w:rFonts w:ascii="Times New Roman" w:hAnsi="Times New Roman" w:cs="Times New Roman"/>
          <w:sz w:val="24"/>
          <w:szCs w:val="24"/>
        </w:rPr>
        <w:t>(</w:t>
      </w:r>
      <w:proofErr w:type="spellStart"/>
      <w:r w:rsidR="00341F76" w:rsidRPr="00341F76">
        <w:rPr>
          <w:rFonts w:ascii="Times New Roman" w:hAnsi="Times New Roman" w:cs="Times New Roman"/>
          <w:sz w:val="24"/>
          <w:szCs w:val="24"/>
        </w:rPr>
        <w:t>Slidebean</w:t>
      </w:r>
      <w:proofErr w:type="spellEnd"/>
      <w:r w:rsidR="00341F76" w:rsidRPr="00341F76">
        <w:rPr>
          <w:rFonts w:ascii="Times New Roman" w:hAnsi="Times New Roman" w:cs="Times New Roman"/>
          <w:sz w:val="24"/>
          <w:szCs w:val="24"/>
        </w:rPr>
        <w:t>, 2022)</w:t>
      </w:r>
      <w:r w:rsidRPr="00FC7793">
        <w:rPr>
          <w:rFonts w:ascii="Times New Roman" w:hAnsi="Times New Roman" w:cs="Times New Roman"/>
          <w:sz w:val="24"/>
          <w:szCs w:val="24"/>
        </w:rPr>
        <w:t>: Venture Capital (VC): This will be the primary engine for scaling. VC funding will be used for:</w:t>
      </w:r>
    </w:p>
    <w:p w14:paraId="0ADF5C6C" w14:textId="77777777" w:rsidR="00FC7793" w:rsidRPr="00FC7793" w:rsidRDefault="00FC7793" w:rsidP="00FC7793">
      <w:pPr>
        <w:numPr>
          <w:ilvl w:val="1"/>
          <w:numId w:val="3"/>
        </w:numPr>
        <w:spacing w:line="480" w:lineRule="auto"/>
        <w:rPr>
          <w:rFonts w:ascii="Times New Roman" w:hAnsi="Times New Roman" w:cs="Times New Roman"/>
          <w:sz w:val="24"/>
          <w:szCs w:val="24"/>
        </w:rPr>
      </w:pPr>
      <w:r w:rsidRPr="00FC7793">
        <w:rPr>
          <w:rFonts w:ascii="Times New Roman" w:hAnsi="Times New Roman" w:cs="Times New Roman"/>
          <w:sz w:val="24"/>
          <w:szCs w:val="24"/>
        </w:rPr>
        <w:t>Full-scale AI model training and refinement.</w:t>
      </w:r>
    </w:p>
    <w:p w14:paraId="35E96377" w14:textId="77777777" w:rsidR="00FC7793" w:rsidRPr="00FC7793" w:rsidRDefault="00FC7793" w:rsidP="00FC7793">
      <w:pPr>
        <w:numPr>
          <w:ilvl w:val="1"/>
          <w:numId w:val="3"/>
        </w:numPr>
        <w:spacing w:line="480" w:lineRule="auto"/>
        <w:rPr>
          <w:rFonts w:ascii="Times New Roman" w:hAnsi="Times New Roman" w:cs="Times New Roman"/>
          <w:sz w:val="24"/>
          <w:szCs w:val="24"/>
        </w:rPr>
      </w:pPr>
      <w:r w:rsidRPr="00FC7793">
        <w:rPr>
          <w:rFonts w:ascii="Times New Roman" w:hAnsi="Times New Roman" w:cs="Times New Roman"/>
          <w:sz w:val="24"/>
          <w:szCs w:val="24"/>
        </w:rPr>
        <w:t>Securing state-level certifications and approvals (critical for K-12 adoption).</w:t>
      </w:r>
    </w:p>
    <w:p w14:paraId="5599A9F7" w14:textId="77777777" w:rsidR="00FC7793" w:rsidRPr="00FC7793" w:rsidRDefault="00FC7793" w:rsidP="00FC7793">
      <w:pPr>
        <w:numPr>
          <w:ilvl w:val="1"/>
          <w:numId w:val="3"/>
        </w:numPr>
        <w:spacing w:line="480" w:lineRule="auto"/>
        <w:rPr>
          <w:rFonts w:ascii="Times New Roman" w:hAnsi="Times New Roman" w:cs="Times New Roman"/>
          <w:sz w:val="24"/>
          <w:szCs w:val="24"/>
        </w:rPr>
      </w:pPr>
      <w:r w:rsidRPr="00FC7793">
        <w:rPr>
          <w:rFonts w:ascii="Times New Roman" w:hAnsi="Times New Roman" w:cs="Times New Roman"/>
          <w:sz w:val="24"/>
          <w:szCs w:val="24"/>
        </w:rPr>
        <w:lastRenderedPageBreak/>
        <w:t xml:space="preserve">Building out the sales and marketing team for nationwide, and eventual </w:t>
      </w:r>
      <w:proofErr w:type="gramStart"/>
      <w:r w:rsidRPr="00FC7793">
        <w:rPr>
          <w:rFonts w:ascii="Times New Roman" w:hAnsi="Times New Roman" w:cs="Times New Roman"/>
          <w:sz w:val="24"/>
          <w:szCs w:val="24"/>
        </w:rPr>
        <w:t>international,</w:t>
      </w:r>
      <w:proofErr w:type="gramEnd"/>
      <w:r w:rsidRPr="00FC7793">
        <w:rPr>
          <w:rFonts w:ascii="Times New Roman" w:hAnsi="Times New Roman" w:cs="Times New Roman"/>
          <w:sz w:val="24"/>
          <w:szCs w:val="24"/>
        </w:rPr>
        <w:t xml:space="preserve"> expansion.</w:t>
      </w:r>
    </w:p>
    <w:p w14:paraId="031A4B7D" w14:textId="77777777" w:rsidR="00FC7793" w:rsidRPr="00FC7793" w:rsidRDefault="00FC7793" w:rsidP="00FC7793">
      <w:pPr>
        <w:numPr>
          <w:ilvl w:val="1"/>
          <w:numId w:val="3"/>
        </w:numPr>
        <w:spacing w:line="480" w:lineRule="auto"/>
        <w:rPr>
          <w:rFonts w:ascii="Times New Roman" w:hAnsi="Times New Roman" w:cs="Times New Roman"/>
          <w:sz w:val="24"/>
          <w:szCs w:val="24"/>
        </w:rPr>
      </w:pPr>
      <w:r w:rsidRPr="00FC7793">
        <w:rPr>
          <w:rFonts w:ascii="Times New Roman" w:hAnsi="Times New Roman" w:cs="Times New Roman"/>
          <w:sz w:val="24"/>
          <w:szCs w:val="24"/>
        </w:rPr>
        <w:t>Legal defense of the core patents.</w:t>
      </w:r>
    </w:p>
    <w:p w14:paraId="22CEBD53" w14:textId="77777777" w:rsidR="00FC7793" w:rsidRPr="00FC7793" w:rsidRDefault="00FC7793" w:rsidP="00FC7793">
      <w:pPr>
        <w:spacing w:line="480" w:lineRule="auto"/>
        <w:rPr>
          <w:rFonts w:ascii="Times New Roman" w:hAnsi="Times New Roman" w:cs="Times New Roman"/>
          <w:sz w:val="24"/>
          <w:szCs w:val="24"/>
        </w:rPr>
      </w:pPr>
      <w:proofErr w:type="gramStart"/>
      <w:r w:rsidRPr="00FC7793">
        <w:rPr>
          <w:rFonts w:ascii="Times New Roman" w:hAnsi="Times New Roman" w:cs="Times New Roman"/>
          <w:sz w:val="24"/>
          <w:szCs w:val="24"/>
        </w:rPr>
        <w:t>Rationale</w:t>
      </w:r>
      <w:proofErr w:type="gramEnd"/>
      <w:r w:rsidRPr="00FC7793">
        <w:rPr>
          <w:rFonts w:ascii="Times New Roman" w:hAnsi="Times New Roman" w:cs="Times New Roman"/>
          <w:sz w:val="24"/>
          <w:szCs w:val="24"/>
        </w:rPr>
        <w:t xml:space="preserve"> and Strategic Alignment</w:t>
      </w:r>
    </w:p>
    <w:p w14:paraId="7041D47F" w14:textId="6175EE0D" w:rsidR="00FC7793" w:rsidRPr="00FC7793" w:rsidRDefault="00FC7793" w:rsidP="00341F76">
      <w:pPr>
        <w:numPr>
          <w:ilvl w:val="0"/>
          <w:numId w:val="4"/>
        </w:numPr>
        <w:spacing w:line="480" w:lineRule="auto"/>
        <w:rPr>
          <w:rFonts w:ascii="Times New Roman" w:hAnsi="Times New Roman" w:cs="Times New Roman"/>
          <w:sz w:val="24"/>
          <w:szCs w:val="24"/>
        </w:rPr>
      </w:pPr>
      <w:r w:rsidRPr="00FC7793">
        <w:rPr>
          <w:rFonts w:ascii="Times New Roman" w:hAnsi="Times New Roman" w:cs="Times New Roman"/>
          <w:sz w:val="24"/>
          <w:szCs w:val="24"/>
        </w:rPr>
        <w:t>Technology Readiness &amp; Strategic Goals: GCAIES is an AI-driven platform that necessitates substantial R&amp;D, specialized engineering talent, and regulatory compliance. VC firms are uniquely positioned to provide the large capital injections (multi-</w:t>
      </w:r>
      <w:proofErr w:type="gramStart"/>
      <w:r w:rsidRPr="00FC7793">
        <w:rPr>
          <w:rFonts w:ascii="Times New Roman" w:hAnsi="Times New Roman" w:cs="Times New Roman"/>
          <w:sz w:val="24"/>
          <w:szCs w:val="24"/>
        </w:rPr>
        <w:t>million dollar</w:t>
      </w:r>
      <w:proofErr w:type="gramEnd"/>
      <w:r w:rsidRPr="00FC7793">
        <w:rPr>
          <w:rFonts w:ascii="Times New Roman" w:hAnsi="Times New Roman" w:cs="Times New Roman"/>
          <w:sz w:val="24"/>
          <w:szCs w:val="24"/>
        </w:rPr>
        <w:t xml:space="preserve"> rounds) needed to scale deep technology and penetrate a conservative, high-barrier-to-entry market like K-12 education. Crowdfunding</w:t>
      </w:r>
      <w:r w:rsidR="00341F76">
        <w:rPr>
          <w:rFonts w:ascii="Times New Roman" w:hAnsi="Times New Roman" w:cs="Times New Roman"/>
          <w:sz w:val="24"/>
          <w:szCs w:val="24"/>
        </w:rPr>
        <w:t xml:space="preserve"> </w:t>
      </w:r>
      <w:r w:rsidR="00341F76" w:rsidRPr="00341F76">
        <w:rPr>
          <w:rFonts w:ascii="Times New Roman" w:hAnsi="Times New Roman" w:cs="Times New Roman"/>
          <w:sz w:val="24"/>
          <w:szCs w:val="24"/>
        </w:rPr>
        <w:t>(</w:t>
      </w:r>
      <w:proofErr w:type="spellStart"/>
      <w:r w:rsidR="00341F76" w:rsidRPr="00341F76">
        <w:rPr>
          <w:rFonts w:ascii="Times New Roman" w:hAnsi="Times New Roman" w:cs="Times New Roman"/>
          <w:sz w:val="24"/>
          <w:szCs w:val="24"/>
        </w:rPr>
        <w:t>LaunchBoom</w:t>
      </w:r>
      <w:proofErr w:type="spellEnd"/>
      <w:r w:rsidR="00341F76" w:rsidRPr="00341F76">
        <w:rPr>
          <w:rFonts w:ascii="Times New Roman" w:hAnsi="Times New Roman" w:cs="Times New Roman"/>
          <w:sz w:val="24"/>
          <w:szCs w:val="24"/>
        </w:rPr>
        <w:t>, 2024)</w:t>
      </w:r>
      <w:r w:rsidRPr="00FC7793">
        <w:rPr>
          <w:rFonts w:ascii="Times New Roman" w:hAnsi="Times New Roman" w:cs="Times New Roman"/>
          <w:sz w:val="24"/>
          <w:szCs w:val="24"/>
        </w:rPr>
        <w:t xml:space="preserve"> or internal R&amp;D budgets are insufficient for the sheer capital required to build and deploy a system designed for a national K-12 audience.</w:t>
      </w:r>
    </w:p>
    <w:p w14:paraId="2881F796" w14:textId="70F5C843" w:rsidR="00FC7793" w:rsidRPr="00FC7793" w:rsidRDefault="00FC7793" w:rsidP="00EC1750">
      <w:pPr>
        <w:numPr>
          <w:ilvl w:val="0"/>
          <w:numId w:val="4"/>
        </w:numPr>
        <w:spacing w:line="480" w:lineRule="auto"/>
        <w:rPr>
          <w:rFonts w:ascii="Times New Roman" w:hAnsi="Times New Roman" w:cs="Times New Roman"/>
          <w:sz w:val="24"/>
          <w:szCs w:val="24"/>
        </w:rPr>
      </w:pPr>
      <w:r w:rsidRPr="00FC7793">
        <w:rPr>
          <w:rFonts w:ascii="Times New Roman" w:hAnsi="Times New Roman" w:cs="Times New Roman"/>
          <w:sz w:val="24"/>
          <w:szCs w:val="24"/>
        </w:rPr>
        <w:t>Market Size &amp; Investor Appeal: The U.S. K-12 EdTech market is vast, and the potential for GCAIES to drastically improve outcomes and operational efficiency (via larger class sizes) offers a clear path to high returns. This massive, defensible market is exactly what VC firms seek: high-growth potential with an exit strategy (e.g., acquisition by Pearson or McGraw Hill, or an Initial Public Offering—IPO)</w:t>
      </w:r>
      <w:r w:rsidR="00EC1750">
        <w:rPr>
          <w:rFonts w:ascii="Times New Roman" w:hAnsi="Times New Roman" w:cs="Times New Roman"/>
          <w:sz w:val="24"/>
          <w:szCs w:val="24"/>
        </w:rPr>
        <w:t xml:space="preserve"> </w:t>
      </w:r>
      <w:r w:rsidR="00EC1750" w:rsidRPr="00EC1750">
        <w:rPr>
          <w:rFonts w:ascii="Times New Roman" w:hAnsi="Times New Roman" w:cs="Times New Roman"/>
          <w:sz w:val="24"/>
          <w:szCs w:val="24"/>
        </w:rPr>
        <w:t>(Money School Podcast, 2021)</w:t>
      </w:r>
      <w:r w:rsidRPr="00FC7793">
        <w:rPr>
          <w:rFonts w:ascii="Times New Roman" w:hAnsi="Times New Roman" w:cs="Times New Roman"/>
          <w:sz w:val="24"/>
          <w:szCs w:val="24"/>
        </w:rPr>
        <w:t>.</w:t>
      </w:r>
    </w:p>
    <w:p w14:paraId="1D03FB41" w14:textId="77777777" w:rsidR="00FC7793" w:rsidRPr="00FC7793" w:rsidRDefault="00FC7793" w:rsidP="00FC7793">
      <w:pPr>
        <w:spacing w:line="480" w:lineRule="auto"/>
        <w:rPr>
          <w:rFonts w:ascii="Times New Roman" w:hAnsi="Times New Roman" w:cs="Times New Roman"/>
          <w:sz w:val="24"/>
          <w:szCs w:val="24"/>
        </w:rPr>
      </w:pPr>
      <w:r w:rsidRPr="00FC7793">
        <w:rPr>
          <w:rFonts w:ascii="Times New Roman" w:hAnsi="Times New Roman" w:cs="Times New Roman"/>
          <w:sz w:val="24"/>
          <w:szCs w:val="24"/>
        </w:rPr>
        <w:pict w14:anchorId="695DBC05">
          <v:rect id="_x0000_i1045" style="width:0;height:1.5pt" o:hralign="center" o:hrstd="t" o:hr="t" fillcolor="#a0a0a0" stroked="f"/>
        </w:pict>
      </w:r>
    </w:p>
    <w:p w14:paraId="3CCAA436" w14:textId="77777777" w:rsidR="00FC7793" w:rsidRPr="00FC7793" w:rsidRDefault="00FC7793" w:rsidP="00FC7793">
      <w:pPr>
        <w:spacing w:line="480" w:lineRule="auto"/>
        <w:rPr>
          <w:rFonts w:ascii="Times New Roman" w:hAnsi="Times New Roman" w:cs="Times New Roman"/>
          <w:sz w:val="24"/>
          <w:szCs w:val="24"/>
        </w:rPr>
      </w:pPr>
      <w:r w:rsidRPr="00FC7793">
        <w:rPr>
          <w:rFonts w:ascii="Segoe UI Emoji" w:hAnsi="Segoe UI Emoji" w:cs="Segoe UI Emoji"/>
          <w:sz w:val="24"/>
          <w:szCs w:val="24"/>
        </w:rPr>
        <w:t>📈</w:t>
      </w:r>
      <w:r w:rsidRPr="00FC7793">
        <w:rPr>
          <w:rFonts w:ascii="Times New Roman" w:hAnsi="Times New Roman" w:cs="Times New Roman"/>
          <w:sz w:val="24"/>
          <w:szCs w:val="24"/>
        </w:rPr>
        <w:t xml:space="preserve"> Monetization &amp; Revenue Model: Value-Based Subscription</w:t>
      </w:r>
    </w:p>
    <w:p w14:paraId="450A7CEA" w14:textId="77777777" w:rsidR="00FC7793" w:rsidRPr="00FC7793" w:rsidRDefault="00FC7793" w:rsidP="00EC1750">
      <w:pPr>
        <w:spacing w:line="480" w:lineRule="auto"/>
        <w:ind w:firstLine="720"/>
        <w:rPr>
          <w:rFonts w:ascii="Times New Roman" w:hAnsi="Times New Roman" w:cs="Times New Roman"/>
          <w:sz w:val="24"/>
          <w:szCs w:val="24"/>
        </w:rPr>
      </w:pPr>
      <w:r w:rsidRPr="00FC7793">
        <w:rPr>
          <w:rFonts w:ascii="Times New Roman" w:hAnsi="Times New Roman" w:cs="Times New Roman"/>
          <w:sz w:val="24"/>
          <w:szCs w:val="24"/>
        </w:rPr>
        <w:t>The monetization strategy for GCAIES must align with the budgetary realities and purchasing cycles of public education institutions while reflecting the significant, measurable value the system provides (i.e., improved student outcomes and teacher efficiency).</w:t>
      </w:r>
    </w:p>
    <w:p w14:paraId="3E66F9EB" w14:textId="77777777" w:rsidR="00FC7793" w:rsidRPr="00FC7793" w:rsidRDefault="00FC7793" w:rsidP="00EC1750">
      <w:pPr>
        <w:spacing w:line="480" w:lineRule="auto"/>
        <w:jc w:val="center"/>
        <w:rPr>
          <w:rFonts w:ascii="Times New Roman" w:hAnsi="Times New Roman" w:cs="Times New Roman"/>
          <w:sz w:val="24"/>
          <w:szCs w:val="24"/>
        </w:rPr>
      </w:pPr>
      <w:r w:rsidRPr="00FC7793">
        <w:rPr>
          <w:rFonts w:ascii="Times New Roman" w:hAnsi="Times New Roman" w:cs="Times New Roman"/>
          <w:sz w:val="24"/>
          <w:szCs w:val="24"/>
        </w:rPr>
        <w:t>Proposed Revenue Model: Tiered Subscription (SaaS)</w:t>
      </w:r>
    </w:p>
    <w:p w14:paraId="0F8E8F34" w14:textId="77777777" w:rsidR="00FC7793" w:rsidRPr="00FC7793" w:rsidRDefault="00FC7793" w:rsidP="00FC7793">
      <w:pPr>
        <w:spacing w:line="480" w:lineRule="auto"/>
        <w:rPr>
          <w:rFonts w:ascii="Times New Roman" w:hAnsi="Times New Roman" w:cs="Times New Roman"/>
          <w:sz w:val="24"/>
          <w:szCs w:val="24"/>
        </w:rPr>
      </w:pPr>
      <w:r w:rsidRPr="00FC7793">
        <w:rPr>
          <w:rFonts w:ascii="Times New Roman" w:hAnsi="Times New Roman" w:cs="Times New Roman"/>
          <w:sz w:val="24"/>
          <w:szCs w:val="24"/>
        </w:rPr>
        <w:lastRenderedPageBreak/>
        <w:t>GCAIES will employ a Tiered Subscription (Software-as-a-Service, SaaS) Model with annual contracts:</w:t>
      </w:r>
    </w:p>
    <w:p w14:paraId="6B1887C5" w14:textId="77777777" w:rsidR="00FC7793" w:rsidRPr="00FC7793" w:rsidRDefault="00FC7793" w:rsidP="00FC7793">
      <w:pPr>
        <w:numPr>
          <w:ilvl w:val="0"/>
          <w:numId w:val="5"/>
        </w:numPr>
        <w:spacing w:line="480" w:lineRule="auto"/>
        <w:rPr>
          <w:rFonts w:ascii="Times New Roman" w:hAnsi="Times New Roman" w:cs="Times New Roman"/>
          <w:sz w:val="24"/>
          <w:szCs w:val="24"/>
        </w:rPr>
      </w:pPr>
      <w:r w:rsidRPr="00FC7793">
        <w:rPr>
          <w:rFonts w:ascii="Times New Roman" w:hAnsi="Times New Roman" w:cs="Times New Roman"/>
          <w:sz w:val="24"/>
          <w:szCs w:val="24"/>
        </w:rPr>
        <w:t>Target Customer: School Districts, rather than individual schools or teachers. This simplifies sales, leverages bulk purchasing, and ensures system-wide adoption for maximum impact.</w:t>
      </w:r>
    </w:p>
    <w:p w14:paraId="271D6E27" w14:textId="77777777" w:rsidR="00FC7793" w:rsidRPr="00FC7793" w:rsidRDefault="00FC7793" w:rsidP="00FC7793">
      <w:pPr>
        <w:numPr>
          <w:ilvl w:val="0"/>
          <w:numId w:val="5"/>
        </w:numPr>
        <w:spacing w:line="480" w:lineRule="auto"/>
        <w:rPr>
          <w:rFonts w:ascii="Times New Roman" w:hAnsi="Times New Roman" w:cs="Times New Roman"/>
          <w:sz w:val="24"/>
          <w:szCs w:val="24"/>
        </w:rPr>
      </w:pPr>
      <w:r w:rsidRPr="00FC7793">
        <w:rPr>
          <w:rFonts w:ascii="Times New Roman" w:hAnsi="Times New Roman" w:cs="Times New Roman"/>
          <w:sz w:val="24"/>
          <w:szCs w:val="24"/>
        </w:rPr>
        <w:t>Pricing Metric: Per-Student, Per-Year Fee. This model is highly scalable, ties revenue directly to the district's size, and is easy for district administrators to budget for on an annual basis.</w:t>
      </w:r>
    </w:p>
    <w:p w14:paraId="49FB74FC" w14:textId="77777777" w:rsidR="00FC7793" w:rsidRPr="00341F76" w:rsidRDefault="00FC7793" w:rsidP="00FC7793">
      <w:pPr>
        <w:spacing w:line="480" w:lineRule="auto"/>
        <w:rPr>
          <w:rFonts w:ascii="Times New Roman" w:hAnsi="Times New Roman" w:cs="Times New Roman"/>
          <w:sz w:val="24"/>
          <w:szCs w:val="24"/>
        </w:rPr>
      </w:pPr>
    </w:p>
    <w:tbl>
      <w:tblPr>
        <w:tblW w:w="9980" w:type="dxa"/>
        <w:tblLook w:val="04A0" w:firstRow="1" w:lastRow="0" w:firstColumn="1" w:lastColumn="0" w:noHBand="0" w:noVBand="1"/>
      </w:tblPr>
      <w:tblGrid>
        <w:gridCol w:w="1310"/>
        <w:gridCol w:w="2640"/>
        <w:gridCol w:w="2449"/>
        <w:gridCol w:w="3581"/>
      </w:tblGrid>
      <w:tr w:rsidR="00A32188" w:rsidRPr="00A32188" w14:paraId="78B195C9" w14:textId="77777777" w:rsidTr="00A32188">
        <w:trPr>
          <w:trHeight w:val="300"/>
        </w:trPr>
        <w:tc>
          <w:tcPr>
            <w:tcW w:w="1180" w:type="dxa"/>
            <w:tcBorders>
              <w:top w:val="single" w:sz="4" w:space="0" w:color="D86DCD"/>
              <w:left w:val="single" w:sz="4" w:space="0" w:color="D86DCD"/>
              <w:bottom w:val="single" w:sz="4" w:space="0" w:color="D86DCD"/>
              <w:right w:val="nil"/>
            </w:tcBorders>
            <w:shd w:val="clear" w:color="A02B93" w:fill="A02B93"/>
            <w:vAlign w:val="center"/>
            <w:hideMark/>
          </w:tcPr>
          <w:p w14:paraId="12305888" w14:textId="77777777" w:rsidR="00A32188" w:rsidRPr="00A32188" w:rsidRDefault="00A32188" w:rsidP="00A32188">
            <w:pPr>
              <w:jc w:val="center"/>
              <w:rPr>
                <w:rFonts w:ascii="Times New Roman" w:eastAsia="Times New Roman" w:hAnsi="Times New Roman" w:cs="Times New Roman"/>
                <w:color w:val="FFFFFF"/>
                <w:sz w:val="24"/>
                <w:szCs w:val="24"/>
              </w:rPr>
            </w:pPr>
            <w:r w:rsidRPr="00A32188">
              <w:rPr>
                <w:rFonts w:ascii="Times New Roman" w:eastAsia="Times New Roman" w:hAnsi="Times New Roman" w:cs="Times New Roman"/>
                <w:color w:val="FFFFFF"/>
                <w:sz w:val="24"/>
                <w:szCs w:val="24"/>
              </w:rPr>
              <w:t>Tier</w:t>
            </w:r>
          </w:p>
        </w:tc>
        <w:tc>
          <w:tcPr>
            <w:tcW w:w="2680" w:type="dxa"/>
            <w:tcBorders>
              <w:top w:val="single" w:sz="4" w:space="0" w:color="D86DCD"/>
              <w:left w:val="nil"/>
              <w:bottom w:val="single" w:sz="4" w:space="0" w:color="D86DCD"/>
              <w:right w:val="nil"/>
            </w:tcBorders>
            <w:shd w:val="clear" w:color="A02B93" w:fill="A02B93"/>
            <w:vAlign w:val="center"/>
            <w:hideMark/>
          </w:tcPr>
          <w:p w14:paraId="63C11C51" w14:textId="77777777" w:rsidR="00A32188" w:rsidRPr="00A32188" w:rsidRDefault="00A32188" w:rsidP="00A32188">
            <w:pPr>
              <w:jc w:val="center"/>
              <w:rPr>
                <w:rFonts w:ascii="Times New Roman" w:eastAsia="Times New Roman" w:hAnsi="Times New Roman" w:cs="Times New Roman"/>
                <w:color w:val="FFFFFF"/>
                <w:sz w:val="24"/>
                <w:szCs w:val="24"/>
              </w:rPr>
            </w:pPr>
            <w:r w:rsidRPr="00A32188">
              <w:rPr>
                <w:rFonts w:ascii="Times New Roman" w:eastAsia="Times New Roman" w:hAnsi="Times New Roman" w:cs="Times New Roman"/>
                <w:color w:val="FFFFFF"/>
                <w:sz w:val="24"/>
                <w:szCs w:val="24"/>
              </w:rPr>
              <w:t>Target User/Goal</w:t>
            </w:r>
          </w:p>
        </w:tc>
        <w:tc>
          <w:tcPr>
            <w:tcW w:w="2480" w:type="dxa"/>
            <w:tcBorders>
              <w:top w:val="single" w:sz="4" w:space="0" w:color="D86DCD"/>
              <w:left w:val="nil"/>
              <w:bottom w:val="single" w:sz="4" w:space="0" w:color="D86DCD"/>
              <w:right w:val="nil"/>
            </w:tcBorders>
            <w:shd w:val="clear" w:color="A02B93" w:fill="A02B93"/>
            <w:vAlign w:val="center"/>
            <w:hideMark/>
          </w:tcPr>
          <w:p w14:paraId="02683123" w14:textId="77777777" w:rsidR="00A32188" w:rsidRPr="00A32188" w:rsidRDefault="00A32188" w:rsidP="00A32188">
            <w:pPr>
              <w:jc w:val="center"/>
              <w:rPr>
                <w:rFonts w:ascii="Times New Roman" w:eastAsia="Times New Roman" w:hAnsi="Times New Roman" w:cs="Times New Roman"/>
                <w:color w:val="FFFFFF"/>
                <w:sz w:val="24"/>
                <w:szCs w:val="24"/>
              </w:rPr>
            </w:pPr>
            <w:r w:rsidRPr="00A32188">
              <w:rPr>
                <w:rFonts w:ascii="Times New Roman" w:eastAsia="Times New Roman" w:hAnsi="Times New Roman" w:cs="Times New Roman"/>
                <w:color w:val="FFFFFF"/>
                <w:sz w:val="24"/>
                <w:szCs w:val="24"/>
              </w:rPr>
              <w:t>Features</w:t>
            </w:r>
          </w:p>
        </w:tc>
        <w:tc>
          <w:tcPr>
            <w:tcW w:w="3640" w:type="dxa"/>
            <w:tcBorders>
              <w:top w:val="single" w:sz="4" w:space="0" w:color="D86DCD"/>
              <w:left w:val="nil"/>
              <w:bottom w:val="single" w:sz="4" w:space="0" w:color="D86DCD"/>
              <w:right w:val="single" w:sz="4" w:space="0" w:color="D86DCD"/>
            </w:tcBorders>
            <w:shd w:val="clear" w:color="A02B93" w:fill="A02B93"/>
            <w:vAlign w:val="center"/>
            <w:hideMark/>
          </w:tcPr>
          <w:p w14:paraId="7231B9CB" w14:textId="77777777" w:rsidR="00A32188" w:rsidRPr="00A32188" w:rsidRDefault="00A32188" w:rsidP="00A32188">
            <w:pPr>
              <w:jc w:val="center"/>
              <w:rPr>
                <w:rFonts w:ascii="Times New Roman" w:eastAsia="Times New Roman" w:hAnsi="Times New Roman" w:cs="Times New Roman"/>
                <w:color w:val="FFFFFF"/>
                <w:sz w:val="24"/>
                <w:szCs w:val="24"/>
              </w:rPr>
            </w:pPr>
            <w:r w:rsidRPr="00A32188">
              <w:rPr>
                <w:rFonts w:ascii="Times New Roman" w:eastAsia="Times New Roman" w:hAnsi="Times New Roman" w:cs="Times New Roman"/>
                <w:color w:val="FFFFFF"/>
                <w:sz w:val="24"/>
                <w:szCs w:val="24"/>
              </w:rPr>
              <w:t>Pricing Rationale</w:t>
            </w:r>
          </w:p>
        </w:tc>
      </w:tr>
      <w:tr w:rsidR="00A32188" w:rsidRPr="00A32188" w14:paraId="7D74E6C3" w14:textId="77777777" w:rsidTr="00A32188">
        <w:trPr>
          <w:trHeight w:val="1755"/>
        </w:trPr>
        <w:tc>
          <w:tcPr>
            <w:tcW w:w="1180" w:type="dxa"/>
            <w:tcBorders>
              <w:top w:val="single" w:sz="4" w:space="0" w:color="D86DCD"/>
              <w:left w:val="single" w:sz="4" w:space="0" w:color="D86DCD"/>
              <w:bottom w:val="single" w:sz="4" w:space="0" w:color="D86DCD"/>
              <w:right w:val="nil"/>
            </w:tcBorders>
            <w:shd w:val="clear" w:color="F2CEEF" w:fill="F2CEEF"/>
            <w:vAlign w:val="center"/>
            <w:hideMark/>
          </w:tcPr>
          <w:p w14:paraId="4FCC264C"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Foundation</w:t>
            </w:r>
          </w:p>
        </w:tc>
        <w:tc>
          <w:tcPr>
            <w:tcW w:w="2680" w:type="dxa"/>
            <w:tcBorders>
              <w:top w:val="single" w:sz="4" w:space="0" w:color="D86DCD"/>
              <w:left w:val="nil"/>
              <w:bottom w:val="single" w:sz="4" w:space="0" w:color="D86DCD"/>
              <w:right w:val="nil"/>
            </w:tcBorders>
            <w:shd w:val="clear" w:color="F2CEEF" w:fill="F2CEEF"/>
            <w:vAlign w:val="center"/>
            <w:hideMark/>
          </w:tcPr>
          <w:p w14:paraId="65E60933"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Small Districts / Core Curriculum Needs</w:t>
            </w:r>
          </w:p>
        </w:tc>
        <w:tc>
          <w:tcPr>
            <w:tcW w:w="2480" w:type="dxa"/>
            <w:tcBorders>
              <w:top w:val="single" w:sz="4" w:space="0" w:color="D86DCD"/>
              <w:left w:val="nil"/>
              <w:bottom w:val="single" w:sz="4" w:space="0" w:color="D86DCD"/>
              <w:right w:val="nil"/>
            </w:tcBorders>
            <w:shd w:val="clear" w:color="F2CEEF" w:fill="F2CEEF"/>
            <w:vAlign w:val="center"/>
            <w:hideMark/>
          </w:tcPr>
          <w:p w14:paraId="44FBD054"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Basic AI tutoring, standardized testing, progress tracking.</w:t>
            </w:r>
          </w:p>
        </w:tc>
        <w:tc>
          <w:tcPr>
            <w:tcW w:w="3640" w:type="dxa"/>
            <w:tcBorders>
              <w:top w:val="single" w:sz="4" w:space="0" w:color="D86DCD"/>
              <w:left w:val="nil"/>
              <w:bottom w:val="single" w:sz="4" w:space="0" w:color="D86DCD"/>
              <w:right w:val="single" w:sz="4" w:space="0" w:color="D86DCD"/>
            </w:tcBorders>
            <w:shd w:val="clear" w:color="F2CEEF" w:fill="F2CEEF"/>
            <w:vAlign w:val="center"/>
            <w:hideMark/>
          </w:tcPr>
          <w:p w14:paraId="0B740873"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Entry-level price point, focuses on replacing basic testing software.</w:t>
            </w:r>
          </w:p>
        </w:tc>
      </w:tr>
      <w:tr w:rsidR="00A32188" w:rsidRPr="00A32188" w14:paraId="2DC56205" w14:textId="77777777" w:rsidTr="00A32188">
        <w:trPr>
          <w:trHeight w:val="1755"/>
        </w:trPr>
        <w:tc>
          <w:tcPr>
            <w:tcW w:w="1180" w:type="dxa"/>
            <w:tcBorders>
              <w:top w:val="single" w:sz="4" w:space="0" w:color="D86DCD"/>
              <w:left w:val="single" w:sz="4" w:space="0" w:color="D86DCD"/>
              <w:bottom w:val="single" w:sz="4" w:space="0" w:color="D86DCD"/>
              <w:right w:val="nil"/>
            </w:tcBorders>
            <w:vAlign w:val="center"/>
            <w:hideMark/>
          </w:tcPr>
          <w:p w14:paraId="08C5AF85"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Advanced</w:t>
            </w:r>
          </w:p>
        </w:tc>
        <w:tc>
          <w:tcPr>
            <w:tcW w:w="2680" w:type="dxa"/>
            <w:tcBorders>
              <w:top w:val="single" w:sz="4" w:space="0" w:color="D86DCD"/>
              <w:left w:val="nil"/>
              <w:bottom w:val="single" w:sz="4" w:space="0" w:color="D86DCD"/>
              <w:right w:val="nil"/>
            </w:tcBorders>
            <w:vAlign w:val="center"/>
            <w:hideMark/>
          </w:tcPr>
          <w:p w14:paraId="22EB2B5A"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Mid-Size Districts / STEM Focus</w:t>
            </w:r>
          </w:p>
        </w:tc>
        <w:tc>
          <w:tcPr>
            <w:tcW w:w="2480" w:type="dxa"/>
            <w:tcBorders>
              <w:top w:val="single" w:sz="4" w:space="0" w:color="D86DCD"/>
              <w:left w:val="nil"/>
              <w:bottom w:val="single" w:sz="4" w:space="0" w:color="D86DCD"/>
              <w:right w:val="nil"/>
            </w:tcBorders>
            <w:vAlign w:val="center"/>
            <w:hideMark/>
          </w:tcPr>
          <w:p w14:paraId="32EAF1B7"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Foundation features plus: Adaptive lesson planning, real-time educator assistance (GCAIES core value), advanced data analytics.</w:t>
            </w:r>
          </w:p>
        </w:tc>
        <w:tc>
          <w:tcPr>
            <w:tcW w:w="3640" w:type="dxa"/>
            <w:tcBorders>
              <w:top w:val="single" w:sz="4" w:space="0" w:color="D86DCD"/>
              <w:left w:val="nil"/>
              <w:bottom w:val="single" w:sz="4" w:space="0" w:color="D86DCD"/>
              <w:right w:val="single" w:sz="4" w:space="0" w:color="D86DCD"/>
            </w:tcBorders>
            <w:vAlign w:val="center"/>
            <w:hideMark/>
          </w:tcPr>
          <w:p w14:paraId="7A47C109"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 xml:space="preserve">Mid-tier </w:t>
            </w:r>
            <w:proofErr w:type="gramStart"/>
            <w:r w:rsidRPr="00A32188">
              <w:rPr>
                <w:rFonts w:ascii="Times New Roman" w:eastAsia="Times New Roman" w:hAnsi="Times New Roman" w:cs="Times New Roman"/>
                <w:color w:val="000000"/>
                <w:sz w:val="24"/>
                <w:szCs w:val="24"/>
              </w:rPr>
              <w:t>price;</w:t>
            </w:r>
            <w:proofErr w:type="gramEnd"/>
            <w:r w:rsidRPr="00A32188">
              <w:rPr>
                <w:rFonts w:ascii="Times New Roman" w:eastAsia="Times New Roman" w:hAnsi="Times New Roman" w:cs="Times New Roman"/>
                <w:color w:val="000000"/>
                <w:sz w:val="24"/>
                <w:szCs w:val="24"/>
              </w:rPr>
              <w:t xml:space="preserve"> aligns with the cost savings realized from the system's efficiency gains.</w:t>
            </w:r>
          </w:p>
        </w:tc>
      </w:tr>
      <w:tr w:rsidR="00A32188" w:rsidRPr="00A32188" w14:paraId="579DD44D" w14:textId="77777777" w:rsidTr="00A32188">
        <w:trPr>
          <w:trHeight w:val="1755"/>
        </w:trPr>
        <w:tc>
          <w:tcPr>
            <w:tcW w:w="1180" w:type="dxa"/>
            <w:tcBorders>
              <w:top w:val="single" w:sz="4" w:space="0" w:color="D86DCD"/>
              <w:left w:val="single" w:sz="4" w:space="0" w:color="D86DCD"/>
              <w:bottom w:val="single" w:sz="4" w:space="0" w:color="D86DCD"/>
              <w:right w:val="nil"/>
            </w:tcBorders>
            <w:shd w:val="clear" w:color="F2CEEF" w:fill="F2CEEF"/>
            <w:vAlign w:val="center"/>
            <w:hideMark/>
          </w:tcPr>
          <w:p w14:paraId="084E1517"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Elite</w:t>
            </w:r>
          </w:p>
        </w:tc>
        <w:tc>
          <w:tcPr>
            <w:tcW w:w="2680" w:type="dxa"/>
            <w:tcBorders>
              <w:top w:val="single" w:sz="4" w:space="0" w:color="D86DCD"/>
              <w:left w:val="nil"/>
              <w:bottom w:val="single" w:sz="4" w:space="0" w:color="D86DCD"/>
              <w:right w:val="nil"/>
            </w:tcBorders>
            <w:shd w:val="clear" w:color="F2CEEF" w:fill="F2CEEF"/>
            <w:vAlign w:val="center"/>
            <w:hideMark/>
          </w:tcPr>
          <w:p w14:paraId="368BBA78"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Large Districts / Full System Integration</w:t>
            </w:r>
          </w:p>
        </w:tc>
        <w:tc>
          <w:tcPr>
            <w:tcW w:w="2480" w:type="dxa"/>
            <w:tcBorders>
              <w:top w:val="single" w:sz="4" w:space="0" w:color="D86DCD"/>
              <w:left w:val="nil"/>
              <w:bottom w:val="single" w:sz="4" w:space="0" w:color="D86DCD"/>
              <w:right w:val="nil"/>
            </w:tcBorders>
            <w:shd w:val="clear" w:color="F2CEEF" w:fill="F2CEEF"/>
            <w:vAlign w:val="center"/>
            <w:hideMark/>
          </w:tcPr>
          <w:p w14:paraId="297D6064"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Advanced features plus: Full API integration with existing LMS/SIS, custom content creation, dedicated data science support.</w:t>
            </w:r>
          </w:p>
        </w:tc>
        <w:tc>
          <w:tcPr>
            <w:tcW w:w="3640" w:type="dxa"/>
            <w:tcBorders>
              <w:top w:val="single" w:sz="4" w:space="0" w:color="D86DCD"/>
              <w:left w:val="nil"/>
              <w:bottom w:val="single" w:sz="4" w:space="0" w:color="D86DCD"/>
              <w:right w:val="single" w:sz="4" w:space="0" w:color="D86DCD"/>
            </w:tcBorders>
            <w:shd w:val="clear" w:color="F2CEEF" w:fill="F2CEEF"/>
            <w:vAlign w:val="center"/>
            <w:hideMark/>
          </w:tcPr>
          <w:p w14:paraId="49E7AB27" w14:textId="77777777" w:rsidR="00A32188" w:rsidRPr="00A32188" w:rsidRDefault="00A32188" w:rsidP="00A32188">
            <w:pPr>
              <w:jc w:val="center"/>
              <w:rPr>
                <w:rFonts w:ascii="Times New Roman" w:eastAsia="Times New Roman" w:hAnsi="Times New Roman" w:cs="Times New Roman"/>
                <w:color w:val="000000"/>
                <w:sz w:val="24"/>
                <w:szCs w:val="24"/>
              </w:rPr>
            </w:pPr>
            <w:r w:rsidRPr="00A32188">
              <w:rPr>
                <w:rFonts w:ascii="Times New Roman" w:eastAsia="Times New Roman" w:hAnsi="Times New Roman" w:cs="Times New Roman"/>
                <w:color w:val="000000"/>
                <w:sz w:val="24"/>
                <w:szCs w:val="24"/>
              </w:rPr>
              <w:t>Premium, value-based pricing justified by maximal operational efficiency and guaranteed outcome improvements.</w:t>
            </w:r>
          </w:p>
        </w:tc>
      </w:tr>
    </w:tbl>
    <w:p w14:paraId="751942D0" w14:textId="77777777" w:rsidR="00A32188" w:rsidRPr="00341F76" w:rsidRDefault="00A32188" w:rsidP="00FC7793">
      <w:pPr>
        <w:spacing w:line="480" w:lineRule="auto"/>
        <w:rPr>
          <w:rFonts w:ascii="Times New Roman" w:hAnsi="Times New Roman" w:cs="Times New Roman"/>
          <w:sz w:val="24"/>
          <w:szCs w:val="24"/>
        </w:rPr>
      </w:pPr>
    </w:p>
    <w:p w14:paraId="3A92FC59" w14:textId="77777777" w:rsidR="00EC1750" w:rsidRDefault="00EC1750" w:rsidP="00A32188">
      <w:pPr>
        <w:spacing w:line="480" w:lineRule="auto"/>
        <w:rPr>
          <w:rFonts w:ascii="Times New Roman" w:hAnsi="Times New Roman" w:cs="Times New Roman"/>
          <w:sz w:val="24"/>
          <w:szCs w:val="24"/>
        </w:rPr>
      </w:pPr>
    </w:p>
    <w:p w14:paraId="5862013D" w14:textId="77777777" w:rsidR="00EC1750" w:rsidRDefault="00EC1750" w:rsidP="00A32188">
      <w:pPr>
        <w:spacing w:line="480" w:lineRule="auto"/>
        <w:rPr>
          <w:rFonts w:ascii="Times New Roman" w:hAnsi="Times New Roman" w:cs="Times New Roman"/>
          <w:sz w:val="24"/>
          <w:szCs w:val="24"/>
        </w:rPr>
      </w:pPr>
    </w:p>
    <w:p w14:paraId="3584B421" w14:textId="77777777" w:rsidR="00EC1750" w:rsidRDefault="00EC1750" w:rsidP="00A32188">
      <w:pPr>
        <w:spacing w:line="480" w:lineRule="auto"/>
        <w:rPr>
          <w:rFonts w:ascii="Times New Roman" w:hAnsi="Times New Roman" w:cs="Times New Roman"/>
          <w:sz w:val="24"/>
          <w:szCs w:val="24"/>
        </w:rPr>
      </w:pPr>
    </w:p>
    <w:p w14:paraId="7D722CD7" w14:textId="42D66244" w:rsidR="00A32188" w:rsidRPr="00A32188" w:rsidRDefault="00A32188" w:rsidP="00EC1750">
      <w:pPr>
        <w:spacing w:line="480" w:lineRule="auto"/>
        <w:jc w:val="center"/>
        <w:rPr>
          <w:rFonts w:ascii="Times New Roman" w:hAnsi="Times New Roman" w:cs="Times New Roman"/>
          <w:sz w:val="24"/>
          <w:szCs w:val="24"/>
        </w:rPr>
      </w:pPr>
      <w:r w:rsidRPr="00A32188">
        <w:rPr>
          <w:rFonts w:ascii="Times New Roman" w:hAnsi="Times New Roman" w:cs="Times New Roman"/>
          <w:sz w:val="24"/>
          <w:szCs w:val="24"/>
        </w:rPr>
        <w:lastRenderedPageBreak/>
        <w:t>Alignment with Market and Revenue Objectives</w:t>
      </w:r>
    </w:p>
    <w:p w14:paraId="202F22DA" w14:textId="71618DED" w:rsidR="00A32188" w:rsidRPr="00A32188" w:rsidRDefault="00A32188" w:rsidP="00A32188">
      <w:pPr>
        <w:numPr>
          <w:ilvl w:val="0"/>
          <w:numId w:val="6"/>
        </w:numPr>
        <w:spacing w:line="480" w:lineRule="auto"/>
        <w:rPr>
          <w:rFonts w:ascii="Times New Roman" w:hAnsi="Times New Roman" w:cs="Times New Roman"/>
          <w:sz w:val="24"/>
          <w:szCs w:val="24"/>
        </w:rPr>
      </w:pPr>
      <w:r w:rsidRPr="00A32188">
        <w:rPr>
          <w:rFonts w:ascii="Times New Roman" w:hAnsi="Times New Roman" w:cs="Times New Roman"/>
          <w:sz w:val="24"/>
          <w:szCs w:val="24"/>
        </w:rPr>
        <w:t xml:space="preserve">Target Market Expectations: Educational institutions prefer </w:t>
      </w:r>
      <w:proofErr w:type="gramStart"/>
      <w:r w:rsidRPr="00A32188">
        <w:rPr>
          <w:rFonts w:ascii="Times New Roman" w:hAnsi="Times New Roman" w:cs="Times New Roman"/>
          <w:sz w:val="24"/>
          <w:szCs w:val="24"/>
        </w:rPr>
        <w:t>predictable,</w:t>
      </w:r>
      <w:proofErr w:type="gramEnd"/>
      <w:r w:rsidRPr="00A32188">
        <w:rPr>
          <w:rFonts w:ascii="Times New Roman" w:hAnsi="Times New Roman" w:cs="Times New Roman"/>
          <w:sz w:val="24"/>
          <w:szCs w:val="24"/>
        </w:rPr>
        <w:t xml:space="preserve"> annual operating expenses (</w:t>
      </w:r>
      <w:proofErr w:type="spellStart"/>
      <w:r w:rsidRPr="00A32188">
        <w:rPr>
          <w:rFonts w:ascii="Times New Roman" w:hAnsi="Times New Roman" w:cs="Times New Roman"/>
          <w:sz w:val="24"/>
          <w:szCs w:val="24"/>
        </w:rPr>
        <w:t>OpEx</w:t>
      </w:r>
      <w:proofErr w:type="spellEnd"/>
      <w:r w:rsidRPr="00A32188">
        <w:rPr>
          <w:rFonts w:ascii="Times New Roman" w:hAnsi="Times New Roman" w:cs="Times New Roman"/>
          <w:sz w:val="24"/>
          <w:szCs w:val="24"/>
        </w:rPr>
        <w:t>) over large, unpredictable capital expenditures (</w:t>
      </w:r>
      <w:proofErr w:type="spellStart"/>
      <w:r w:rsidRPr="00A32188">
        <w:rPr>
          <w:rFonts w:ascii="Times New Roman" w:hAnsi="Times New Roman" w:cs="Times New Roman"/>
          <w:sz w:val="24"/>
          <w:szCs w:val="24"/>
        </w:rPr>
        <w:t>CapEx</w:t>
      </w:r>
      <w:proofErr w:type="spellEnd"/>
      <w:r w:rsidRPr="00A32188">
        <w:rPr>
          <w:rFonts w:ascii="Times New Roman" w:hAnsi="Times New Roman" w:cs="Times New Roman"/>
          <w:sz w:val="24"/>
          <w:szCs w:val="24"/>
        </w:rPr>
        <w:t xml:space="preserve">). A per-student SaaS subscription fits perfectly into this budget cycle, making the purchase less daunting than a one-time license. </w:t>
      </w:r>
      <w:r w:rsidR="00EC1750">
        <w:rPr>
          <w:rFonts w:ascii="Times New Roman" w:hAnsi="Times New Roman" w:cs="Times New Roman"/>
          <w:sz w:val="24"/>
          <w:szCs w:val="24"/>
        </w:rPr>
        <w:t>T</w:t>
      </w:r>
      <w:r w:rsidRPr="00A32188">
        <w:rPr>
          <w:rFonts w:ascii="Times New Roman" w:hAnsi="Times New Roman" w:cs="Times New Roman"/>
          <w:sz w:val="24"/>
          <w:szCs w:val="24"/>
        </w:rPr>
        <w:t>he tiered structure allows districts with varying financial capabilities and strategic needs to find a suitable entry point (Kotler &amp; Keller, 2016).</w:t>
      </w:r>
    </w:p>
    <w:p w14:paraId="4B58CAA7" w14:textId="77777777" w:rsidR="00A32188" w:rsidRPr="00A32188" w:rsidRDefault="00A32188" w:rsidP="00A32188">
      <w:pPr>
        <w:numPr>
          <w:ilvl w:val="0"/>
          <w:numId w:val="6"/>
        </w:numPr>
        <w:spacing w:line="480" w:lineRule="auto"/>
        <w:rPr>
          <w:rFonts w:ascii="Times New Roman" w:hAnsi="Times New Roman" w:cs="Times New Roman"/>
          <w:sz w:val="24"/>
          <w:szCs w:val="24"/>
        </w:rPr>
      </w:pPr>
      <w:r w:rsidRPr="00A32188">
        <w:rPr>
          <w:rFonts w:ascii="Times New Roman" w:hAnsi="Times New Roman" w:cs="Times New Roman"/>
          <w:sz w:val="24"/>
          <w:szCs w:val="24"/>
        </w:rPr>
        <w:t>Revenue Objectives: The subscription model offers the highest potential for predictable, recurring revenue (ARR), which is the most critical metric for VC valuation and long-term financial stability.</w:t>
      </w:r>
    </w:p>
    <w:p w14:paraId="2863511F" w14:textId="77777777" w:rsidR="00A32188" w:rsidRPr="00A32188" w:rsidRDefault="00A32188" w:rsidP="00A32188">
      <w:pPr>
        <w:numPr>
          <w:ilvl w:val="1"/>
          <w:numId w:val="6"/>
        </w:numPr>
        <w:spacing w:line="480" w:lineRule="auto"/>
        <w:rPr>
          <w:rFonts w:ascii="Times New Roman" w:hAnsi="Times New Roman" w:cs="Times New Roman"/>
          <w:sz w:val="24"/>
          <w:szCs w:val="24"/>
        </w:rPr>
      </w:pPr>
      <w:r w:rsidRPr="00A32188">
        <w:rPr>
          <w:rFonts w:ascii="Times New Roman" w:hAnsi="Times New Roman" w:cs="Times New Roman"/>
          <w:sz w:val="24"/>
          <w:szCs w:val="24"/>
        </w:rPr>
        <w:t>High Lifetime Value (LTV): Education is sticky; once the GCAIES platform is integrated into a district’s curriculum and teacher training, the switching costs are extremely high, leading to high retention rates and a high LTV per district.</w:t>
      </w:r>
    </w:p>
    <w:p w14:paraId="052BCDAF" w14:textId="77777777" w:rsidR="00A32188" w:rsidRPr="00A32188" w:rsidRDefault="00A32188" w:rsidP="00A32188">
      <w:pPr>
        <w:numPr>
          <w:ilvl w:val="1"/>
          <w:numId w:val="6"/>
        </w:numPr>
        <w:spacing w:line="480" w:lineRule="auto"/>
        <w:rPr>
          <w:rFonts w:ascii="Times New Roman" w:hAnsi="Times New Roman" w:cs="Times New Roman"/>
          <w:sz w:val="24"/>
          <w:szCs w:val="24"/>
        </w:rPr>
      </w:pPr>
      <w:r w:rsidRPr="00A32188">
        <w:rPr>
          <w:rFonts w:ascii="Times New Roman" w:hAnsi="Times New Roman" w:cs="Times New Roman"/>
          <w:sz w:val="24"/>
          <w:szCs w:val="24"/>
        </w:rPr>
        <w:t xml:space="preserve">Value-Based Pricing: The pricing will be directly linked to the value GCAIES </w:t>
      </w:r>
      <w:proofErr w:type="gramStart"/>
      <w:r w:rsidRPr="00A32188">
        <w:rPr>
          <w:rFonts w:ascii="Times New Roman" w:hAnsi="Times New Roman" w:cs="Times New Roman"/>
          <w:sz w:val="24"/>
          <w:szCs w:val="24"/>
        </w:rPr>
        <w:t>delivers</w:t>
      </w:r>
      <w:proofErr w:type="gramEnd"/>
      <w:r w:rsidRPr="00A32188">
        <w:rPr>
          <w:rFonts w:ascii="Times New Roman" w:hAnsi="Times New Roman" w:cs="Times New Roman"/>
          <w:sz w:val="24"/>
          <w:szCs w:val="24"/>
        </w:rPr>
        <w:t>, such as a guaranteed X% improvement in standardized test scores or Y% reduction in required teacher planning time. This allows the pricing to be set high enough to generate significant profit margins that satisfy VC growth expectations, while being justified by the measurable impact on the district's primary objectives (Nagle &amp; Müller, 2017).</w:t>
      </w:r>
    </w:p>
    <w:p w14:paraId="7C7E679F" w14:textId="77777777" w:rsidR="00A32188" w:rsidRPr="00A32188" w:rsidRDefault="00A32188" w:rsidP="00A32188">
      <w:pPr>
        <w:spacing w:line="480" w:lineRule="auto"/>
        <w:rPr>
          <w:rFonts w:ascii="Times New Roman" w:hAnsi="Times New Roman" w:cs="Times New Roman"/>
          <w:sz w:val="24"/>
          <w:szCs w:val="24"/>
        </w:rPr>
      </w:pPr>
      <w:r w:rsidRPr="00A32188">
        <w:rPr>
          <w:rFonts w:ascii="Times New Roman" w:hAnsi="Times New Roman" w:cs="Times New Roman"/>
          <w:sz w:val="24"/>
          <w:szCs w:val="24"/>
        </w:rPr>
        <w:pict w14:anchorId="7EAA3141">
          <v:rect id="_x0000_i1061" style="width:0;height:1.5pt" o:hralign="center" o:hrstd="t" o:hr="t" fillcolor="#a0a0a0" stroked="f"/>
        </w:pict>
      </w:r>
    </w:p>
    <w:p w14:paraId="185A2FAE" w14:textId="77777777" w:rsidR="00A32188" w:rsidRPr="00A32188" w:rsidRDefault="00A32188" w:rsidP="00EC1750">
      <w:pPr>
        <w:spacing w:line="480" w:lineRule="auto"/>
        <w:jc w:val="center"/>
        <w:rPr>
          <w:rFonts w:ascii="Times New Roman" w:hAnsi="Times New Roman" w:cs="Times New Roman"/>
          <w:sz w:val="24"/>
          <w:szCs w:val="24"/>
        </w:rPr>
      </w:pPr>
      <w:r w:rsidRPr="00A32188">
        <w:rPr>
          <w:rFonts w:ascii="Times New Roman" w:hAnsi="Times New Roman" w:cs="Times New Roman"/>
          <w:sz w:val="24"/>
          <w:szCs w:val="24"/>
        </w:rPr>
        <w:t>Conclusion</w:t>
      </w:r>
    </w:p>
    <w:p w14:paraId="56E3F5DC" w14:textId="77777777" w:rsidR="00A32188" w:rsidRPr="00A32188" w:rsidRDefault="00A32188" w:rsidP="00A32188">
      <w:pPr>
        <w:spacing w:line="480" w:lineRule="auto"/>
        <w:rPr>
          <w:rFonts w:ascii="Times New Roman" w:hAnsi="Times New Roman" w:cs="Times New Roman"/>
          <w:sz w:val="24"/>
          <w:szCs w:val="24"/>
        </w:rPr>
      </w:pPr>
      <w:r w:rsidRPr="00A32188">
        <w:rPr>
          <w:rFonts w:ascii="Times New Roman" w:hAnsi="Times New Roman" w:cs="Times New Roman"/>
          <w:sz w:val="24"/>
          <w:szCs w:val="24"/>
        </w:rPr>
        <w:t xml:space="preserve">The successful launch of Gordon's Connecticut AI Educator System requires a disciplined, interconnected strategy. Legally, the system will be protected by a layered IP approach prioritizing a Utility Patent on the core AI methodology and Copyright on the source code and content, </w:t>
      </w:r>
      <w:r w:rsidRPr="00A32188">
        <w:rPr>
          <w:rFonts w:ascii="Times New Roman" w:hAnsi="Times New Roman" w:cs="Times New Roman"/>
          <w:sz w:val="24"/>
          <w:szCs w:val="24"/>
        </w:rPr>
        <w:lastRenderedPageBreak/>
        <w:t>establishing a defensible market position. Financially, the venture will rely on Venture Capital to provide the necessary scale and strategic expertise for penetrating the vast K-12 market, justified by the strong IP and high-growth potential. Strategically, GCAIES will capture value through a Tiered Per-Student Subscription (SaaS) Model, aligning with the predictable budget cycles of school districts while ensuring high, recurring revenue streams necessary to meet the demanding financial goals of a VC-backed organization. By executing this comprehensive legal, financial, and strategic framework, GCAIES can successfully transition from a promising idea into a sustainable, market-leading innovation.</w:t>
      </w:r>
    </w:p>
    <w:p w14:paraId="025BD5FD" w14:textId="77777777" w:rsidR="00A32188" w:rsidRPr="00A32188" w:rsidRDefault="00A32188" w:rsidP="00A32188">
      <w:pPr>
        <w:spacing w:line="480" w:lineRule="auto"/>
        <w:rPr>
          <w:rFonts w:ascii="Times New Roman" w:hAnsi="Times New Roman" w:cs="Times New Roman"/>
          <w:sz w:val="24"/>
          <w:szCs w:val="24"/>
        </w:rPr>
      </w:pPr>
      <w:r w:rsidRPr="00A32188">
        <w:rPr>
          <w:rFonts w:ascii="Times New Roman" w:hAnsi="Times New Roman" w:cs="Times New Roman"/>
          <w:sz w:val="24"/>
          <w:szCs w:val="24"/>
        </w:rPr>
        <w:pict w14:anchorId="62309933">
          <v:rect id="_x0000_i1062" style="width:0;height:1.5pt" o:hralign="center" o:hrstd="t" o:hr="t" fillcolor="#a0a0a0" stroked="f"/>
        </w:pict>
      </w:r>
    </w:p>
    <w:p w14:paraId="6C8B2A18" w14:textId="77777777" w:rsidR="00EC1750" w:rsidRDefault="00EC1750">
      <w:pPr>
        <w:rPr>
          <w:rFonts w:ascii="Segoe UI Emoji" w:hAnsi="Segoe UI Emoji" w:cs="Segoe UI Emoji"/>
          <w:sz w:val="24"/>
          <w:szCs w:val="24"/>
        </w:rPr>
      </w:pPr>
      <w:r>
        <w:rPr>
          <w:rFonts w:ascii="Segoe UI Emoji" w:hAnsi="Segoe UI Emoji" w:cs="Segoe UI Emoji"/>
          <w:sz w:val="24"/>
          <w:szCs w:val="24"/>
        </w:rPr>
        <w:br w:type="page"/>
      </w:r>
    </w:p>
    <w:p w14:paraId="182CEEF4" w14:textId="468EBA3A" w:rsidR="00A32188" w:rsidRPr="00A32188" w:rsidRDefault="00A32188" w:rsidP="00A32188">
      <w:pPr>
        <w:spacing w:line="480" w:lineRule="auto"/>
        <w:rPr>
          <w:rFonts w:ascii="Times New Roman" w:hAnsi="Times New Roman" w:cs="Times New Roman"/>
          <w:sz w:val="24"/>
          <w:szCs w:val="24"/>
        </w:rPr>
      </w:pPr>
      <w:r w:rsidRPr="00A32188">
        <w:rPr>
          <w:rFonts w:ascii="Segoe UI Emoji" w:hAnsi="Segoe UI Emoji" w:cs="Segoe UI Emoji"/>
          <w:sz w:val="24"/>
          <w:szCs w:val="24"/>
        </w:rPr>
        <w:lastRenderedPageBreak/>
        <w:t>📚</w:t>
      </w:r>
      <w:r w:rsidRPr="00A32188">
        <w:rPr>
          <w:rFonts w:ascii="Times New Roman" w:hAnsi="Times New Roman" w:cs="Times New Roman"/>
          <w:sz w:val="24"/>
          <w:szCs w:val="24"/>
        </w:rPr>
        <w:t xml:space="preserve"> References</w:t>
      </w:r>
    </w:p>
    <w:p w14:paraId="7F696705" w14:textId="33AEC1DC" w:rsidR="00EC1750" w:rsidRDefault="00EC1750" w:rsidP="00EC1750">
      <w:pPr>
        <w:spacing w:line="480" w:lineRule="auto"/>
        <w:ind w:left="720" w:hanging="720"/>
        <w:rPr>
          <w:rFonts w:ascii="Times New Roman" w:hAnsi="Times New Roman" w:cs="Times New Roman"/>
          <w:sz w:val="24"/>
          <w:szCs w:val="24"/>
        </w:rPr>
      </w:pPr>
      <w:r w:rsidRPr="00EC1750">
        <w:rPr>
          <w:rFonts w:ascii="Times New Roman" w:hAnsi="Times New Roman" w:cs="Times New Roman"/>
          <w:sz w:val="24"/>
          <w:szCs w:val="24"/>
        </w:rPr>
        <w:t xml:space="preserve">All Up </w:t>
      </w:r>
      <w:proofErr w:type="gramStart"/>
      <w:r w:rsidRPr="00EC1750">
        <w:rPr>
          <w:rFonts w:ascii="Times New Roman" w:hAnsi="Times New Roman" w:cs="Times New Roman"/>
          <w:sz w:val="24"/>
          <w:szCs w:val="24"/>
        </w:rPr>
        <w:t>In</w:t>
      </w:r>
      <w:proofErr w:type="gramEnd"/>
      <w:r w:rsidRPr="00EC1750">
        <w:rPr>
          <w:rFonts w:ascii="Times New Roman" w:hAnsi="Times New Roman" w:cs="Times New Roman"/>
          <w:sz w:val="24"/>
          <w:szCs w:val="24"/>
        </w:rPr>
        <w:t xml:space="preserve"> </w:t>
      </w:r>
      <w:proofErr w:type="spellStart"/>
      <w:r w:rsidRPr="00EC1750">
        <w:rPr>
          <w:rFonts w:ascii="Times New Roman" w:hAnsi="Times New Roman" w:cs="Times New Roman"/>
          <w:sz w:val="24"/>
          <w:szCs w:val="24"/>
        </w:rPr>
        <w:t>Yo</w:t>
      </w:r>
      <w:proofErr w:type="spellEnd"/>
      <w:r w:rsidRPr="00EC1750">
        <w:rPr>
          <w:rFonts w:ascii="Times New Roman" w:hAnsi="Times New Roman" w:cs="Times New Roman"/>
          <w:sz w:val="24"/>
          <w:szCs w:val="24"/>
        </w:rPr>
        <w:t xml:space="preserve">’ Business with Attorney Aiden Durham. (2020, April 22). </w:t>
      </w:r>
      <w:r w:rsidRPr="00EC1750">
        <w:rPr>
          <w:rFonts w:ascii="Times New Roman" w:hAnsi="Times New Roman" w:cs="Times New Roman"/>
          <w:i/>
          <w:iCs/>
          <w:sz w:val="24"/>
          <w:szCs w:val="24"/>
        </w:rPr>
        <w:t>Intellectual Property Law explained | Copyrights, trademarks, trade secrets, &amp; patents</w:t>
      </w:r>
      <w:r w:rsidRPr="00EC1750">
        <w:rPr>
          <w:rFonts w:ascii="Times New Roman" w:hAnsi="Times New Roman" w:cs="Times New Roman"/>
          <w:sz w:val="24"/>
          <w:szCs w:val="24"/>
        </w:rPr>
        <w:t xml:space="preserve"> [Video]. YouTube. </w:t>
      </w:r>
      <w:hyperlink r:id="rId8" w:history="1">
        <w:r w:rsidRPr="00EC1750">
          <w:rPr>
            <w:rStyle w:val="Hyperlink"/>
            <w:rFonts w:ascii="Times New Roman" w:hAnsi="Times New Roman" w:cs="Times New Roman"/>
            <w:sz w:val="24"/>
            <w:szCs w:val="24"/>
          </w:rPr>
          <w:t>https://www.youtube.com/watch?v=EUo4G1lw-w8</w:t>
        </w:r>
      </w:hyperlink>
    </w:p>
    <w:p w14:paraId="0ED7C849" w14:textId="77777777" w:rsidR="00A32188" w:rsidRPr="00A32188" w:rsidRDefault="00A32188" w:rsidP="00EC1750">
      <w:pPr>
        <w:spacing w:line="480" w:lineRule="auto"/>
        <w:ind w:left="720" w:hanging="720"/>
        <w:rPr>
          <w:rFonts w:ascii="Times New Roman" w:hAnsi="Times New Roman" w:cs="Times New Roman"/>
          <w:sz w:val="24"/>
          <w:szCs w:val="24"/>
        </w:rPr>
      </w:pPr>
      <w:r w:rsidRPr="00A32188">
        <w:rPr>
          <w:rFonts w:ascii="Times New Roman" w:hAnsi="Times New Roman" w:cs="Times New Roman"/>
          <w:sz w:val="24"/>
          <w:szCs w:val="24"/>
        </w:rPr>
        <w:t xml:space="preserve">Gompers, P. A., &amp; Lerner, J. (2000). The determinants of corporate venture capital success: Organizational structure, incentives, and complementarities. </w:t>
      </w:r>
      <w:r w:rsidRPr="00A32188">
        <w:rPr>
          <w:rFonts w:ascii="Times New Roman" w:hAnsi="Times New Roman" w:cs="Times New Roman"/>
          <w:i/>
          <w:iCs/>
          <w:sz w:val="24"/>
          <w:szCs w:val="24"/>
        </w:rPr>
        <w:t>Journal of Business</w:t>
      </w:r>
      <w:r w:rsidRPr="00A32188">
        <w:rPr>
          <w:rFonts w:ascii="Times New Roman" w:hAnsi="Times New Roman" w:cs="Times New Roman"/>
          <w:sz w:val="24"/>
          <w:szCs w:val="24"/>
        </w:rPr>
        <w:t xml:space="preserve">, </w:t>
      </w:r>
      <w:r w:rsidRPr="00A32188">
        <w:rPr>
          <w:rFonts w:ascii="Times New Roman" w:hAnsi="Times New Roman" w:cs="Times New Roman"/>
          <w:i/>
          <w:iCs/>
          <w:sz w:val="24"/>
          <w:szCs w:val="24"/>
        </w:rPr>
        <w:t>73</w:t>
      </w:r>
      <w:r w:rsidRPr="00A32188">
        <w:rPr>
          <w:rFonts w:ascii="Times New Roman" w:hAnsi="Times New Roman" w:cs="Times New Roman"/>
          <w:sz w:val="24"/>
          <w:szCs w:val="24"/>
        </w:rPr>
        <w:t>(3), 431-450.</w:t>
      </w:r>
    </w:p>
    <w:p w14:paraId="072B4122" w14:textId="77777777" w:rsidR="00A32188" w:rsidRPr="00A32188" w:rsidRDefault="00A32188" w:rsidP="00EC1750">
      <w:pPr>
        <w:spacing w:line="480" w:lineRule="auto"/>
        <w:ind w:left="720" w:hanging="720"/>
        <w:rPr>
          <w:rFonts w:ascii="Times New Roman" w:hAnsi="Times New Roman" w:cs="Times New Roman"/>
          <w:sz w:val="24"/>
          <w:szCs w:val="24"/>
        </w:rPr>
      </w:pPr>
      <w:r w:rsidRPr="00A32188">
        <w:rPr>
          <w:rFonts w:ascii="Times New Roman" w:hAnsi="Times New Roman" w:cs="Times New Roman"/>
          <w:sz w:val="24"/>
          <w:szCs w:val="24"/>
        </w:rPr>
        <w:t xml:space="preserve">Kotler, P., &amp; Keller, K. L. (2016). </w:t>
      </w:r>
      <w:r w:rsidRPr="00A32188">
        <w:rPr>
          <w:rFonts w:ascii="Times New Roman" w:hAnsi="Times New Roman" w:cs="Times New Roman"/>
          <w:i/>
          <w:iCs/>
          <w:sz w:val="24"/>
          <w:szCs w:val="24"/>
        </w:rPr>
        <w:t>Marketing management</w:t>
      </w:r>
      <w:r w:rsidRPr="00A32188">
        <w:rPr>
          <w:rFonts w:ascii="Times New Roman" w:hAnsi="Times New Roman" w:cs="Times New Roman"/>
          <w:sz w:val="24"/>
          <w:szCs w:val="24"/>
        </w:rPr>
        <w:t xml:space="preserve"> (15th ed.). Pearson Education.</w:t>
      </w:r>
    </w:p>
    <w:p w14:paraId="2C342C29" w14:textId="1D3237AD" w:rsidR="00341F76" w:rsidRDefault="00341F76" w:rsidP="00EC1750">
      <w:pPr>
        <w:spacing w:line="480" w:lineRule="auto"/>
        <w:ind w:left="720" w:hanging="720"/>
        <w:rPr>
          <w:rFonts w:ascii="Times New Roman" w:hAnsi="Times New Roman" w:cs="Times New Roman"/>
          <w:sz w:val="24"/>
          <w:szCs w:val="24"/>
        </w:rPr>
      </w:pPr>
      <w:proofErr w:type="spellStart"/>
      <w:r w:rsidRPr="00341F76">
        <w:rPr>
          <w:rFonts w:ascii="Times New Roman" w:hAnsi="Times New Roman" w:cs="Times New Roman"/>
          <w:sz w:val="24"/>
          <w:szCs w:val="24"/>
        </w:rPr>
        <w:t>LaunchBoom</w:t>
      </w:r>
      <w:proofErr w:type="spellEnd"/>
      <w:r w:rsidRPr="00341F76">
        <w:rPr>
          <w:rFonts w:ascii="Times New Roman" w:hAnsi="Times New Roman" w:cs="Times New Roman"/>
          <w:sz w:val="24"/>
          <w:szCs w:val="24"/>
        </w:rPr>
        <w:t xml:space="preserve">. (2024, January 30). </w:t>
      </w:r>
      <w:r w:rsidRPr="00341F76">
        <w:rPr>
          <w:rFonts w:ascii="Times New Roman" w:hAnsi="Times New Roman" w:cs="Times New Roman"/>
          <w:i/>
          <w:iCs/>
          <w:sz w:val="24"/>
          <w:szCs w:val="24"/>
        </w:rPr>
        <w:t>How does crowdfunding work in 2025?</w:t>
      </w:r>
      <w:r w:rsidRPr="00341F76">
        <w:rPr>
          <w:rFonts w:ascii="Times New Roman" w:hAnsi="Times New Roman" w:cs="Times New Roman"/>
          <w:sz w:val="24"/>
          <w:szCs w:val="24"/>
        </w:rPr>
        <w:t xml:space="preserve"> [Video]. YouTube. </w:t>
      </w:r>
      <w:hyperlink r:id="rId9" w:history="1">
        <w:r w:rsidR="00EC1750" w:rsidRPr="00341F76">
          <w:rPr>
            <w:rStyle w:val="Hyperlink"/>
            <w:rFonts w:ascii="Times New Roman" w:hAnsi="Times New Roman" w:cs="Times New Roman"/>
            <w:sz w:val="24"/>
            <w:szCs w:val="24"/>
          </w:rPr>
          <w:t>https://www.youtube.com/watch?v=8-EyxMuvE9A</w:t>
        </w:r>
      </w:hyperlink>
    </w:p>
    <w:p w14:paraId="216E7A10" w14:textId="77777777" w:rsidR="00A32188" w:rsidRPr="00A32188" w:rsidRDefault="00A32188" w:rsidP="00EC1750">
      <w:pPr>
        <w:spacing w:line="480" w:lineRule="auto"/>
        <w:ind w:left="720" w:hanging="720"/>
        <w:rPr>
          <w:rFonts w:ascii="Times New Roman" w:hAnsi="Times New Roman" w:cs="Times New Roman"/>
          <w:sz w:val="24"/>
          <w:szCs w:val="24"/>
        </w:rPr>
      </w:pPr>
      <w:r w:rsidRPr="00A32188">
        <w:rPr>
          <w:rFonts w:ascii="Times New Roman" w:hAnsi="Times New Roman" w:cs="Times New Roman"/>
          <w:sz w:val="24"/>
          <w:szCs w:val="24"/>
        </w:rPr>
        <w:t xml:space="preserve">Lemley, M. A. (2015). The changing meaning of patent claim terms. </w:t>
      </w:r>
      <w:r w:rsidRPr="00A32188">
        <w:rPr>
          <w:rFonts w:ascii="Times New Roman" w:hAnsi="Times New Roman" w:cs="Times New Roman"/>
          <w:i/>
          <w:iCs/>
          <w:sz w:val="24"/>
          <w:szCs w:val="24"/>
        </w:rPr>
        <w:t>Harvard Law Review</w:t>
      </w:r>
      <w:r w:rsidRPr="00A32188">
        <w:rPr>
          <w:rFonts w:ascii="Times New Roman" w:hAnsi="Times New Roman" w:cs="Times New Roman"/>
          <w:sz w:val="24"/>
          <w:szCs w:val="24"/>
        </w:rPr>
        <w:t xml:space="preserve">, </w:t>
      </w:r>
      <w:r w:rsidRPr="00A32188">
        <w:rPr>
          <w:rFonts w:ascii="Times New Roman" w:hAnsi="Times New Roman" w:cs="Times New Roman"/>
          <w:i/>
          <w:iCs/>
          <w:sz w:val="24"/>
          <w:szCs w:val="24"/>
        </w:rPr>
        <w:t>104</w:t>
      </w:r>
      <w:r w:rsidRPr="00A32188">
        <w:rPr>
          <w:rFonts w:ascii="Times New Roman" w:hAnsi="Times New Roman" w:cs="Times New Roman"/>
          <w:sz w:val="24"/>
          <w:szCs w:val="24"/>
        </w:rPr>
        <w:t>(6), 1149-1183.</w:t>
      </w:r>
    </w:p>
    <w:p w14:paraId="264D80F2" w14:textId="77777777" w:rsidR="00A32188" w:rsidRDefault="00A32188" w:rsidP="00EC1750">
      <w:pPr>
        <w:spacing w:line="480" w:lineRule="auto"/>
        <w:ind w:left="720" w:hanging="720"/>
        <w:rPr>
          <w:rFonts w:ascii="Times New Roman" w:hAnsi="Times New Roman" w:cs="Times New Roman"/>
          <w:sz w:val="24"/>
          <w:szCs w:val="24"/>
        </w:rPr>
      </w:pPr>
      <w:r w:rsidRPr="00A32188">
        <w:rPr>
          <w:rFonts w:ascii="Times New Roman" w:hAnsi="Times New Roman" w:cs="Times New Roman"/>
          <w:sz w:val="24"/>
          <w:szCs w:val="24"/>
        </w:rPr>
        <w:t xml:space="preserve">Lerner, J. (2012). </w:t>
      </w:r>
      <w:r w:rsidRPr="00A32188">
        <w:rPr>
          <w:rFonts w:ascii="Times New Roman" w:hAnsi="Times New Roman" w:cs="Times New Roman"/>
          <w:i/>
          <w:iCs/>
          <w:sz w:val="24"/>
          <w:szCs w:val="24"/>
        </w:rPr>
        <w:t>The architecture of innovation: The economics of industrial change</w:t>
      </w:r>
      <w:r w:rsidRPr="00A32188">
        <w:rPr>
          <w:rFonts w:ascii="Times New Roman" w:hAnsi="Times New Roman" w:cs="Times New Roman"/>
          <w:sz w:val="24"/>
          <w:szCs w:val="24"/>
        </w:rPr>
        <w:t>. University of Chicago Press.</w:t>
      </w:r>
    </w:p>
    <w:p w14:paraId="3A1E0CA1" w14:textId="464F8ECD" w:rsidR="00EC1750" w:rsidRDefault="00EC1750" w:rsidP="00EC1750">
      <w:pPr>
        <w:spacing w:line="480" w:lineRule="auto"/>
        <w:ind w:left="720" w:hanging="720"/>
        <w:rPr>
          <w:rFonts w:ascii="Times New Roman" w:hAnsi="Times New Roman" w:cs="Times New Roman"/>
          <w:sz w:val="24"/>
          <w:szCs w:val="24"/>
        </w:rPr>
      </w:pPr>
      <w:r w:rsidRPr="00EC1750">
        <w:rPr>
          <w:rFonts w:ascii="Times New Roman" w:hAnsi="Times New Roman" w:cs="Times New Roman"/>
          <w:sz w:val="24"/>
          <w:szCs w:val="24"/>
        </w:rPr>
        <w:t xml:space="preserve">Money School Podcast. (2021, April 1). </w:t>
      </w:r>
      <w:r w:rsidRPr="00EC1750">
        <w:rPr>
          <w:rFonts w:ascii="Times New Roman" w:hAnsi="Times New Roman" w:cs="Times New Roman"/>
          <w:i/>
          <w:iCs/>
          <w:sz w:val="24"/>
          <w:szCs w:val="24"/>
        </w:rPr>
        <w:t>How to appeal to private investors for deals</w:t>
      </w:r>
      <w:r w:rsidRPr="00EC1750">
        <w:rPr>
          <w:rFonts w:ascii="Times New Roman" w:hAnsi="Times New Roman" w:cs="Times New Roman"/>
          <w:sz w:val="24"/>
          <w:szCs w:val="24"/>
        </w:rPr>
        <w:t xml:space="preserve"> [Video]. YouTube. </w:t>
      </w:r>
      <w:hyperlink r:id="rId10" w:history="1">
        <w:r w:rsidRPr="00EC1750">
          <w:rPr>
            <w:rStyle w:val="Hyperlink"/>
            <w:rFonts w:ascii="Times New Roman" w:hAnsi="Times New Roman" w:cs="Times New Roman"/>
            <w:sz w:val="24"/>
            <w:szCs w:val="24"/>
          </w:rPr>
          <w:t>https://www.youtube.com/watch?v=wziKnDI8TIA</w:t>
        </w:r>
      </w:hyperlink>
    </w:p>
    <w:p w14:paraId="0658822F" w14:textId="77777777" w:rsidR="00A32188" w:rsidRPr="00A32188" w:rsidRDefault="00A32188" w:rsidP="00EC1750">
      <w:pPr>
        <w:spacing w:line="480" w:lineRule="auto"/>
        <w:ind w:left="720" w:hanging="720"/>
        <w:rPr>
          <w:rFonts w:ascii="Times New Roman" w:hAnsi="Times New Roman" w:cs="Times New Roman"/>
          <w:sz w:val="24"/>
          <w:szCs w:val="24"/>
        </w:rPr>
      </w:pPr>
      <w:r w:rsidRPr="00A32188">
        <w:rPr>
          <w:rFonts w:ascii="Times New Roman" w:hAnsi="Times New Roman" w:cs="Times New Roman"/>
          <w:sz w:val="24"/>
          <w:szCs w:val="24"/>
        </w:rPr>
        <w:t xml:space="preserve">Nagle, T. T., &amp; Müller, G. (2017). </w:t>
      </w:r>
      <w:r w:rsidRPr="00A32188">
        <w:rPr>
          <w:rFonts w:ascii="Times New Roman" w:hAnsi="Times New Roman" w:cs="Times New Roman"/>
          <w:i/>
          <w:iCs/>
          <w:sz w:val="24"/>
          <w:szCs w:val="24"/>
        </w:rPr>
        <w:t>The strategy and tactics of pricing: A guide to growing more profitably</w:t>
      </w:r>
      <w:r w:rsidRPr="00A32188">
        <w:rPr>
          <w:rFonts w:ascii="Times New Roman" w:hAnsi="Times New Roman" w:cs="Times New Roman"/>
          <w:sz w:val="24"/>
          <w:szCs w:val="24"/>
        </w:rPr>
        <w:t xml:space="preserve"> (6th ed.). Routledge.</w:t>
      </w:r>
    </w:p>
    <w:p w14:paraId="2774FEF2" w14:textId="0BA04DB7" w:rsidR="00EC1750" w:rsidRDefault="00EC1750" w:rsidP="00EC1750">
      <w:pPr>
        <w:spacing w:line="480" w:lineRule="auto"/>
        <w:ind w:left="720" w:hanging="720"/>
        <w:rPr>
          <w:rFonts w:ascii="Times New Roman" w:hAnsi="Times New Roman" w:cs="Times New Roman"/>
          <w:sz w:val="24"/>
          <w:szCs w:val="24"/>
        </w:rPr>
      </w:pPr>
      <w:r w:rsidRPr="00EC1750">
        <w:rPr>
          <w:rFonts w:ascii="Times New Roman" w:hAnsi="Times New Roman" w:cs="Times New Roman"/>
          <w:sz w:val="24"/>
          <w:szCs w:val="24"/>
        </w:rPr>
        <w:t xml:space="preserve">Nate O’Brien. (2023, May 24). </w:t>
      </w:r>
      <w:r w:rsidRPr="00EC1750">
        <w:rPr>
          <w:rFonts w:ascii="Times New Roman" w:hAnsi="Times New Roman" w:cs="Times New Roman"/>
          <w:i/>
          <w:iCs/>
          <w:sz w:val="24"/>
          <w:szCs w:val="24"/>
        </w:rPr>
        <w:t>Venture Capital for Beginners (Complete tutorial) Startup &amp; VC Investing Explained 2023</w:t>
      </w:r>
      <w:r w:rsidRPr="00EC1750">
        <w:rPr>
          <w:rFonts w:ascii="Times New Roman" w:hAnsi="Times New Roman" w:cs="Times New Roman"/>
          <w:sz w:val="24"/>
          <w:szCs w:val="24"/>
        </w:rPr>
        <w:t xml:space="preserve"> [Video]. YouTube. </w:t>
      </w:r>
      <w:hyperlink r:id="rId11" w:history="1">
        <w:r w:rsidRPr="00EC1750">
          <w:rPr>
            <w:rStyle w:val="Hyperlink"/>
            <w:rFonts w:ascii="Times New Roman" w:hAnsi="Times New Roman" w:cs="Times New Roman"/>
            <w:sz w:val="24"/>
            <w:szCs w:val="24"/>
          </w:rPr>
          <w:t>https://www.youtube.com/watch?v=1qy1GX6gugw</w:t>
        </w:r>
      </w:hyperlink>
    </w:p>
    <w:p w14:paraId="1DAE3D85" w14:textId="77777777" w:rsidR="00EC1750" w:rsidRDefault="00341F76" w:rsidP="00EC1750">
      <w:pPr>
        <w:spacing w:line="480" w:lineRule="auto"/>
        <w:ind w:left="720" w:hanging="720"/>
        <w:rPr>
          <w:rFonts w:ascii="Times New Roman" w:hAnsi="Times New Roman" w:cs="Times New Roman"/>
          <w:sz w:val="24"/>
          <w:szCs w:val="24"/>
        </w:rPr>
      </w:pPr>
      <w:proofErr w:type="spellStart"/>
      <w:r w:rsidRPr="00341F76">
        <w:rPr>
          <w:rFonts w:ascii="Times New Roman" w:hAnsi="Times New Roman" w:cs="Times New Roman"/>
          <w:sz w:val="24"/>
          <w:szCs w:val="24"/>
        </w:rPr>
        <w:t>Slidebean</w:t>
      </w:r>
      <w:proofErr w:type="spellEnd"/>
      <w:r w:rsidRPr="00341F76">
        <w:rPr>
          <w:rFonts w:ascii="Times New Roman" w:hAnsi="Times New Roman" w:cs="Times New Roman"/>
          <w:sz w:val="24"/>
          <w:szCs w:val="24"/>
        </w:rPr>
        <w:t xml:space="preserve">. (2022, February 9). </w:t>
      </w:r>
      <w:r w:rsidRPr="00341F76">
        <w:rPr>
          <w:rFonts w:ascii="Times New Roman" w:hAnsi="Times New Roman" w:cs="Times New Roman"/>
          <w:i/>
          <w:iCs/>
          <w:sz w:val="24"/>
          <w:szCs w:val="24"/>
        </w:rPr>
        <w:t>Startup Funding Explained: Series A vs Seed - Startups 101</w:t>
      </w:r>
      <w:r w:rsidRPr="00341F76">
        <w:rPr>
          <w:rFonts w:ascii="Times New Roman" w:hAnsi="Times New Roman" w:cs="Times New Roman"/>
          <w:sz w:val="24"/>
          <w:szCs w:val="24"/>
        </w:rPr>
        <w:t xml:space="preserve"> [Video]. YouTube. </w:t>
      </w:r>
      <w:hyperlink r:id="rId12" w:history="1">
        <w:r w:rsidR="00EC1750" w:rsidRPr="00341F76">
          <w:rPr>
            <w:rStyle w:val="Hyperlink"/>
            <w:rFonts w:ascii="Times New Roman" w:hAnsi="Times New Roman" w:cs="Times New Roman"/>
            <w:sz w:val="24"/>
            <w:szCs w:val="24"/>
          </w:rPr>
          <w:t>https://www.youtube.com/watch?v=5GXx5c53c5s</w:t>
        </w:r>
      </w:hyperlink>
    </w:p>
    <w:p w14:paraId="0C86F661" w14:textId="50DF32D7" w:rsidR="00A32188" w:rsidRPr="00A32188" w:rsidRDefault="00A32188" w:rsidP="00EC1750">
      <w:pPr>
        <w:spacing w:line="480" w:lineRule="auto"/>
        <w:ind w:left="720" w:hanging="720"/>
        <w:rPr>
          <w:rFonts w:ascii="Times New Roman" w:hAnsi="Times New Roman" w:cs="Times New Roman"/>
          <w:sz w:val="24"/>
          <w:szCs w:val="24"/>
        </w:rPr>
      </w:pPr>
      <w:r w:rsidRPr="00A32188">
        <w:rPr>
          <w:rFonts w:ascii="Times New Roman" w:hAnsi="Times New Roman" w:cs="Times New Roman"/>
          <w:sz w:val="24"/>
          <w:szCs w:val="24"/>
        </w:rPr>
        <w:lastRenderedPageBreak/>
        <w:t xml:space="preserve">World Intellectual Property Organization. (2021). </w:t>
      </w:r>
      <w:r w:rsidRPr="00A32188">
        <w:rPr>
          <w:rFonts w:ascii="Times New Roman" w:hAnsi="Times New Roman" w:cs="Times New Roman"/>
          <w:i/>
          <w:iCs/>
          <w:sz w:val="24"/>
          <w:szCs w:val="24"/>
        </w:rPr>
        <w:t>WIPO intellectual property handbook: Policy, law and use</w:t>
      </w:r>
      <w:r w:rsidRPr="00A32188">
        <w:rPr>
          <w:rFonts w:ascii="Times New Roman" w:hAnsi="Times New Roman" w:cs="Times New Roman"/>
          <w:sz w:val="24"/>
          <w:szCs w:val="24"/>
        </w:rPr>
        <w:t>. WIPO Publication No. 489(E).</w:t>
      </w:r>
    </w:p>
    <w:p w14:paraId="1C59955C" w14:textId="77777777" w:rsidR="00A32188" w:rsidRPr="00341F76" w:rsidRDefault="00A32188" w:rsidP="00EC1750">
      <w:pPr>
        <w:spacing w:line="480" w:lineRule="auto"/>
        <w:ind w:left="720" w:hanging="720"/>
        <w:rPr>
          <w:rFonts w:ascii="Times New Roman" w:hAnsi="Times New Roman" w:cs="Times New Roman"/>
          <w:sz w:val="24"/>
          <w:szCs w:val="24"/>
        </w:rPr>
      </w:pPr>
    </w:p>
    <w:sectPr w:rsidR="00A32188" w:rsidRPr="00341F7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86C83" w14:textId="77777777" w:rsidR="004023F4" w:rsidRDefault="004023F4" w:rsidP="00025EF4">
      <w:r>
        <w:separator/>
      </w:r>
    </w:p>
  </w:endnote>
  <w:endnote w:type="continuationSeparator" w:id="0">
    <w:p w14:paraId="109C1E9F" w14:textId="77777777" w:rsidR="004023F4" w:rsidRDefault="004023F4" w:rsidP="00025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48655"/>
      <w:docPartObj>
        <w:docPartGallery w:val="Page Numbers (Bottom of Page)"/>
        <w:docPartUnique/>
      </w:docPartObj>
    </w:sdtPr>
    <w:sdtEndPr>
      <w:rPr>
        <w:color w:val="7F7F7F" w:themeColor="background1" w:themeShade="7F"/>
        <w:spacing w:val="60"/>
      </w:rPr>
    </w:sdtEndPr>
    <w:sdtContent>
      <w:p w14:paraId="6488122C" w14:textId="27E02B48" w:rsidR="00FC7793" w:rsidRDefault="00FC779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3737A9B" w14:textId="77777777" w:rsidR="00FC7793" w:rsidRDefault="00FC77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01DB2" w14:textId="77777777" w:rsidR="004023F4" w:rsidRDefault="004023F4" w:rsidP="00025EF4">
      <w:r>
        <w:separator/>
      </w:r>
    </w:p>
  </w:footnote>
  <w:footnote w:type="continuationSeparator" w:id="0">
    <w:p w14:paraId="3A67AE1D" w14:textId="77777777" w:rsidR="004023F4" w:rsidRDefault="004023F4" w:rsidP="00025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F03E3" w14:textId="47B31C5E" w:rsidR="00025EF4" w:rsidRPr="00025EF4" w:rsidRDefault="00025EF4" w:rsidP="00025EF4">
    <w:pPr>
      <w:pStyle w:val="Header"/>
      <w:jc w:val="center"/>
      <w:rPr>
        <w:rFonts w:ascii="Times New Roman" w:hAnsi="Times New Roman" w:cs="Times New Roman"/>
        <w:sz w:val="24"/>
        <w:szCs w:val="24"/>
      </w:rPr>
    </w:pPr>
    <w:r w:rsidRPr="00025EF4">
      <w:rPr>
        <w:rFonts w:ascii="Times New Roman" w:hAnsi="Times New Roman" w:cs="Times New Roman"/>
        <w:sz w:val="24"/>
        <w:szCs w:val="24"/>
      </w:rPr>
      <w:t>Gordon's Connecticut AI Educator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6259"/>
    <w:multiLevelType w:val="multilevel"/>
    <w:tmpl w:val="6BBE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4424A"/>
    <w:multiLevelType w:val="multilevel"/>
    <w:tmpl w:val="866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001AB"/>
    <w:multiLevelType w:val="multilevel"/>
    <w:tmpl w:val="676AC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964B50"/>
    <w:multiLevelType w:val="multilevel"/>
    <w:tmpl w:val="10889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747F79"/>
    <w:multiLevelType w:val="multilevel"/>
    <w:tmpl w:val="2500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A6324E"/>
    <w:multiLevelType w:val="multilevel"/>
    <w:tmpl w:val="4A8AE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4989500">
    <w:abstractNumId w:val="4"/>
  </w:num>
  <w:num w:numId="2" w16cid:durableId="1012994460">
    <w:abstractNumId w:val="1"/>
  </w:num>
  <w:num w:numId="3" w16cid:durableId="1590844202">
    <w:abstractNumId w:val="2"/>
  </w:num>
  <w:num w:numId="4" w16cid:durableId="1619214966">
    <w:abstractNumId w:val="0"/>
  </w:num>
  <w:num w:numId="5" w16cid:durableId="1626932850">
    <w:abstractNumId w:val="5"/>
  </w:num>
  <w:num w:numId="6" w16cid:durableId="617103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EF4"/>
    <w:rsid w:val="00025EF4"/>
    <w:rsid w:val="0033230D"/>
    <w:rsid w:val="00341F76"/>
    <w:rsid w:val="00371882"/>
    <w:rsid w:val="004023F4"/>
    <w:rsid w:val="006D1B8F"/>
    <w:rsid w:val="00817885"/>
    <w:rsid w:val="00A32188"/>
    <w:rsid w:val="00B042BF"/>
    <w:rsid w:val="00C67F76"/>
    <w:rsid w:val="00EC1750"/>
    <w:rsid w:val="00FC7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7CEC9"/>
  <w15:chartTrackingRefBased/>
  <w15:docId w15:val="{350D02B0-6679-4039-A1CF-7876EB15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5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E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E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E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E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5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5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5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EF4"/>
    <w:rPr>
      <w:rFonts w:eastAsiaTheme="majorEastAsia" w:cstheme="majorBidi"/>
      <w:color w:val="272727" w:themeColor="text1" w:themeTint="D8"/>
    </w:rPr>
  </w:style>
  <w:style w:type="paragraph" w:styleId="Title">
    <w:name w:val="Title"/>
    <w:basedOn w:val="Normal"/>
    <w:next w:val="Normal"/>
    <w:link w:val="TitleChar"/>
    <w:uiPriority w:val="10"/>
    <w:qFormat/>
    <w:rsid w:val="00025E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E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E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5EF4"/>
    <w:rPr>
      <w:i/>
      <w:iCs/>
      <w:color w:val="404040" w:themeColor="text1" w:themeTint="BF"/>
    </w:rPr>
  </w:style>
  <w:style w:type="paragraph" w:styleId="ListParagraph">
    <w:name w:val="List Paragraph"/>
    <w:basedOn w:val="Normal"/>
    <w:uiPriority w:val="34"/>
    <w:qFormat/>
    <w:rsid w:val="00025EF4"/>
    <w:pPr>
      <w:ind w:left="720"/>
      <w:contextualSpacing/>
    </w:pPr>
  </w:style>
  <w:style w:type="character" w:styleId="IntenseEmphasis">
    <w:name w:val="Intense Emphasis"/>
    <w:basedOn w:val="DefaultParagraphFont"/>
    <w:uiPriority w:val="21"/>
    <w:qFormat/>
    <w:rsid w:val="00025EF4"/>
    <w:rPr>
      <w:i/>
      <w:iCs/>
      <w:color w:val="2F5496" w:themeColor="accent1" w:themeShade="BF"/>
    </w:rPr>
  </w:style>
  <w:style w:type="paragraph" w:styleId="IntenseQuote">
    <w:name w:val="Intense Quote"/>
    <w:basedOn w:val="Normal"/>
    <w:next w:val="Normal"/>
    <w:link w:val="IntenseQuoteChar"/>
    <w:uiPriority w:val="30"/>
    <w:qFormat/>
    <w:rsid w:val="00025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EF4"/>
    <w:rPr>
      <w:i/>
      <w:iCs/>
      <w:color w:val="2F5496" w:themeColor="accent1" w:themeShade="BF"/>
    </w:rPr>
  </w:style>
  <w:style w:type="character" w:styleId="IntenseReference">
    <w:name w:val="Intense Reference"/>
    <w:basedOn w:val="DefaultParagraphFont"/>
    <w:uiPriority w:val="32"/>
    <w:qFormat/>
    <w:rsid w:val="00025EF4"/>
    <w:rPr>
      <w:b/>
      <w:bCs/>
      <w:smallCaps/>
      <w:color w:val="2F5496" w:themeColor="accent1" w:themeShade="BF"/>
      <w:spacing w:val="5"/>
    </w:rPr>
  </w:style>
  <w:style w:type="paragraph" w:styleId="Header">
    <w:name w:val="header"/>
    <w:basedOn w:val="Normal"/>
    <w:link w:val="HeaderChar"/>
    <w:uiPriority w:val="99"/>
    <w:unhideWhenUsed/>
    <w:rsid w:val="00025EF4"/>
    <w:pPr>
      <w:tabs>
        <w:tab w:val="center" w:pos="4680"/>
        <w:tab w:val="right" w:pos="9360"/>
      </w:tabs>
    </w:pPr>
  </w:style>
  <w:style w:type="character" w:customStyle="1" w:styleId="HeaderChar">
    <w:name w:val="Header Char"/>
    <w:basedOn w:val="DefaultParagraphFont"/>
    <w:link w:val="Header"/>
    <w:uiPriority w:val="99"/>
    <w:rsid w:val="00025EF4"/>
  </w:style>
  <w:style w:type="paragraph" w:styleId="Footer">
    <w:name w:val="footer"/>
    <w:basedOn w:val="Normal"/>
    <w:link w:val="FooterChar"/>
    <w:uiPriority w:val="99"/>
    <w:unhideWhenUsed/>
    <w:rsid w:val="00025EF4"/>
    <w:pPr>
      <w:tabs>
        <w:tab w:val="center" w:pos="4680"/>
        <w:tab w:val="right" w:pos="9360"/>
      </w:tabs>
    </w:pPr>
  </w:style>
  <w:style w:type="character" w:customStyle="1" w:styleId="FooterChar">
    <w:name w:val="Footer Char"/>
    <w:basedOn w:val="DefaultParagraphFont"/>
    <w:link w:val="Footer"/>
    <w:uiPriority w:val="99"/>
    <w:rsid w:val="00025EF4"/>
  </w:style>
  <w:style w:type="character" w:styleId="Hyperlink">
    <w:name w:val="Hyperlink"/>
    <w:basedOn w:val="DefaultParagraphFont"/>
    <w:uiPriority w:val="99"/>
    <w:unhideWhenUsed/>
    <w:rsid w:val="00EC1750"/>
    <w:rPr>
      <w:color w:val="0563C1" w:themeColor="hyperlink"/>
      <w:u w:val="single"/>
    </w:rPr>
  </w:style>
  <w:style w:type="character" w:styleId="UnresolvedMention">
    <w:name w:val="Unresolved Mention"/>
    <w:basedOn w:val="DefaultParagraphFont"/>
    <w:uiPriority w:val="99"/>
    <w:semiHidden/>
    <w:unhideWhenUsed/>
    <w:rsid w:val="00EC1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Uo4G1lw-w8"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5GXx5c53c5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1qy1GX6gugw"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youtube.com/watch?v=wziKnDI8TIA" TargetMode="External"/><Relationship Id="rId4" Type="http://schemas.openxmlformats.org/officeDocument/2006/relationships/settings" Target="settings.xml"/><Relationship Id="rId9" Type="http://schemas.openxmlformats.org/officeDocument/2006/relationships/hyperlink" Target="https://www.youtube.com/watch?v=8-EyxMuvE9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8DA48-B2D4-43AE-BCBD-D42A01A84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1824</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2</cp:revision>
  <dcterms:created xsi:type="dcterms:W3CDTF">2025-12-01T01:37:00Z</dcterms:created>
  <dcterms:modified xsi:type="dcterms:W3CDTF">2025-12-01T02:17:00Z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ca5496e8-5b3f-4712-b845-2eb163fe4d65</vt:lpwstr>
  </property>
</Properties>
</file>