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7983" w14:textId="1EFE60B2" w:rsidR="00E61CB7" w:rsidRDefault="00E61CB7" w:rsidP="00E61CB7">
      <w:pPr>
        <w:rPr>
          <w:rFonts w:ascii="Times New Roman" w:hAnsi="Times New Roman" w:cs="Times New Roman"/>
          <w:sz w:val="24"/>
          <w:szCs w:val="24"/>
        </w:rPr>
      </w:pPr>
      <w:r>
        <w:rPr>
          <w:rFonts w:ascii="Times New Roman" w:hAnsi="Times New Roman" w:cs="Times New Roman"/>
          <w:sz w:val="24"/>
          <w:szCs w:val="24"/>
        </w:rPr>
        <w:t xml:space="preserve">Good </w:t>
      </w:r>
      <w:proofErr w:type="gramStart"/>
      <w:r>
        <w:rPr>
          <w:rFonts w:ascii="Times New Roman" w:hAnsi="Times New Roman" w:cs="Times New Roman"/>
          <w:sz w:val="24"/>
          <w:szCs w:val="24"/>
        </w:rPr>
        <w:t>evening</w:t>
      </w:r>
      <w:proofErr w:type="gramEnd"/>
      <w:r>
        <w:rPr>
          <w:rFonts w:ascii="Times New Roman" w:hAnsi="Times New Roman" w:cs="Times New Roman"/>
          <w:sz w:val="24"/>
          <w:szCs w:val="24"/>
        </w:rPr>
        <w:t xml:space="preserve"> Professor and classmates.  This is my late discussion submission for Unit 5.</w:t>
      </w:r>
    </w:p>
    <w:p w14:paraId="4E0DCAC4" w14:textId="77777777" w:rsidR="00E61CB7" w:rsidRDefault="00E61CB7" w:rsidP="00E61CB7">
      <w:pPr>
        <w:rPr>
          <w:rFonts w:ascii="Times New Roman" w:hAnsi="Times New Roman" w:cs="Times New Roman"/>
          <w:sz w:val="24"/>
          <w:szCs w:val="24"/>
        </w:rPr>
      </w:pPr>
    </w:p>
    <w:p w14:paraId="74BD1CE9" w14:textId="39DDAA2F" w:rsidR="00E61CB7" w:rsidRDefault="00E61CB7" w:rsidP="00E61CB7">
      <w:pPr>
        <w:rPr>
          <w:rFonts w:ascii="Times New Roman" w:hAnsi="Times New Roman" w:cs="Times New Roman"/>
          <w:sz w:val="24"/>
          <w:szCs w:val="24"/>
        </w:rPr>
      </w:pPr>
      <w:r w:rsidRPr="00E61CB7">
        <w:rPr>
          <w:rFonts w:ascii="Times New Roman" w:hAnsi="Times New Roman" w:cs="Times New Roman"/>
          <w:sz w:val="24"/>
          <w:szCs w:val="24"/>
        </w:rPr>
        <w:t>Organizational success in today's dynamic environment is profoundly shaped by the integration of robust business models, proactive risk management, and disciplined program principles. Each of these pillars contributes uniquely to enhancing processes, fostering resilience, and directly influencing the development and effectiveness of Key Performance Indicators, driving a culture of continuous improvement within an organization.</w:t>
      </w:r>
    </w:p>
    <w:p w14:paraId="52551F17" w14:textId="77777777" w:rsidR="00E61CB7" w:rsidRPr="00E61CB7" w:rsidRDefault="00E61CB7" w:rsidP="00E61CB7">
      <w:pPr>
        <w:rPr>
          <w:rFonts w:ascii="Times New Roman" w:hAnsi="Times New Roman" w:cs="Times New Roman"/>
          <w:sz w:val="24"/>
          <w:szCs w:val="24"/>
        </w:rPr>
      </w:pPr>
    </w:p>
    <w:p w14:paraId="160AFEDF" w14:textId="4ADF924C" w:rsidR="00E61CB7" w:rsidRDefault="00E61CB7" w:rsidP="00E61CB7">
      <w:pPr>
        <w:rPr>
          <w:rFonts w:ascii="Times New Roman" w:hAnsi="Times New Roman" w:cs="Times New Roman"/>
          <w:sz w:val="24"/>
          <w:szCs w:val="24"/>
        </w:rPr>
      </w:pPr>
      <w:r w:rsidRPr="00E61CB7">
        <w:rPr>
          <w:rFonts w:ascii="Times New Roman" w:hAnsi="Times New Roman" w:cs="Times New Roman"/>
          <w:sz w:val="24"/>
          <w:szCs w:val="24"/>
        </w:rPr>
        <w:t>Business excellence models, such as the Malcolm Baldrige National Quality Award or the European Foundation for Quality Management Excellence Model, serve as comprehensive frameworks that guide organizations toward sustainable high performance. These models enhance organizational processes by providing a holistic assessment of leadership, strategy, customers, measurement, workforce, operations, and results (National Institute of Standards and Technology, 2023). By promoting a structured approach to self-assessment and improvement, they foster a culture of continuous improvement. This systematic evaluation inherently promotes the definition of clear, measurable KPIs across various organizational dimensions, ensuring that progress towards excellence is quantifiable and aligned with strategic goals.</w:t>
      </w:r>
    </w:p>
    <w:p w14:paraId="50BB6A8E" w14:textId="77777777" w:rsidR="00E61CB7" w:rsidRPr="00E61CB7" w:rsidRDefault="00E61CB7" w:rsidP="00E61CB7">
      <w:pPr>
        <w:rPr>
          <w:rFonts w:ascii="Times New Roman" w:hAnsi="Times New Roman" w:cs="Times New Roman"/>
          <w:sz w:val="24"/>
          <w:szCs w:val="24"/>
        </w:rPr>
      </w:pPr>
    </w:p>
    <w:p w14:paraId="3EE07DF7" w14:textId="32687B7E" w:rsidR="00E61CB7" w:rsidRDefault="00E61CB7" w:rsidP="00E61CB7">
      <w:pPr>
        <w:rPr>
          <w:rFonts w:ascii="Times New Roman" w:hAnsi="Times New Roman" w:cs="Times New Roman"/>
          <w:sz w:val="24"/>
          <w:szCs w:val="24"/>
        </w:rPr>
      </w:pPr>
      <w:r w:rsidRPr="00E61CB7">
        <w:rPr>
          <w:rFonts w:ascii="Times New Roman" w:hAnsi="Times New Roman" w:cs="Times New Roman"/>
          <w:sz w:val="24"/>
          <w:szCs w:val="24"/>
        </w:rPr>
        <w:t xml:space="preserve">Enterprise Risk Management strategies are critical for enhancing organizational resilience by enabling proactive identification and mitigation of potential risks. ERM frameworks, such as </w:t>
      </w:r>
      <w:proofErr w:type="gramStart"/>
      <w:r w:rsidRPr="00E61CB7">
        <w:rPr>
          <w:rFonts w:ascii="Times New Roman" w:hAnsi="Times New Roman" w:cs="Times New Roman"/>
          <w:sz w:val="24"/>
          <w:szCs w:val="24"/>
        </w:rPr>
        <w:t>that</w:t>
      </w:r>
      <w:proofErr w:type="gramEnd"/>
      <w:r w:rsidRPr="00E61CB7">
        <w:rPr>
          <w:rFonts w:ascii="Times New Roman" w:hAnsi="Times New Roman" w:cs="Times New Roman"/>
          <w:sz w:val="24"/>
          <w:szCs w:val="24"/>
        </w:rPr>
        <w:t xml:space="preserve"> provided by COSO, integrate risk management into strategic planning and daily operations, allowing organizations to anticipate threats and opportunities before they significantly impact performance (COSO, 2017). This proactive stance directly influences KPI development by necessitating the creation of risk-adjusted KPIs or early warning indicators. These specialized KPIs not only measure traditional performance but also track the effectiveness of risk mitigation efforts, ensuring that organizational objectives are pursued within an acceptable risk appetite.</w:t>
      </w:r>
    </w:p>
    <w:p w14:paraId="281F50E1" w14:textId="77777777" w:rsidR="00E61CB7" w:rsidRPr="00E61CB7" w:rsidRDefault="00E61CB7" w:rsidP="00E61CB7">
      <w:pPr>
        <w:rPr>
          <w:rFonts w:ascii="Times New Roman" w:hAnsi="Times New Roman" w:cs="Times New Roman"/>
          <w:sz w:val="24"/>
          <w:szCs w:val="24"/>
        </w:rPr>
      </w:pPr>
    </w:p>
    <w:p w14:paraId="454D351C" w14:textId="439C7400" w:rsidR="00E61CB7" w:rsidRDefault="00E61CB7" w:rsidP="00E61CB7">
      <w:pPr>
        <w:rPr>
          <w:rFonts w:ascii="Times New Roman" w:hAnsi="Times New Roman" w:cs="Times New Roman"/>
          <w:sz w:val="24"/>
          <w:szCs w:val="24"/>
        </w:rPr>
      </w:pPr>
      <w:r>
        <w:rPr>
          <w:rFonts w:ascii="Times New Roman" w:hAnsi="Times New Roman" w:cs="Times New Roman"/>
          <w:sz w:val="24"/>
          <w:szCs w:val="24"/>
        </w:rPr>
        <w:t>P</w:t>
      </w:r>
      <w:r w:rsidRPr="00E61CB7">
        <w:rPr>
          <w:rFonts w:ascii="Times New Roman" w:hAnsi="Times New Roman" w:cs="Times New Roman"/>
          <w:sz w:val="24"/>
          <w:szCs w:val="24"/>
        </w:rPr>
        <w:t>rogram management principles play a vital role in designing and executing complex initiatives by providing a structured approach to managing interdependent projects. By synthesizing principles such as strategic alignment, stakeholder engagement, and benefits realization, program management ensures that all constituent projects contribute cohesively to overarching organizational objectives (Project Management Institute, 2017). This discipline optimizes resource utilization by preventing duplication of effort and ensuring resources are allocated where they yield the most strategic value. Consequently, program management directly impacts KPIs related to efficiency, project success rates, and the achievement of long-term strategic outcomes, demonstrating the tangible benefits delivered by the program.</w:t>
      </w:r>
    </w:p>
    <w:p w14:paraId="7955609D" w14:textId="77777777" w:rsidR="00E61CB7" w:rsidRPr="00E61CB7" w:rsidRDefault="00E61CB7" w:rsidP="00E61CB7">
      <w:pPr>
        <w:rPr>
          <w:rFonts w:ascii="Times New Roman" w:hAnsi="Times New Roman" w:cs="Times New Roman"/>
          <w:sz w:val="24"/>
          <w:szCs w:val="24"/>
        </w:rPr>
      </w:pPr>
    </w:p>
    <w:p w14:paraId="3DFB5ED8" w14:textId="77777777" w:rsidR="00E61CB7" w:rsidRPr="00E61CB7" w:rsidRDefault="00E61CB7" w:rsidP="00E61CB7">
      <w:pPr>
        <w:rPr>
          <w:rFonts w:ascii="Times New Roman" w:hAnsi="Times New Roman" w:cs="Times New Roman"/>
          <w:sz w:val="24"/>
          <w:szCs w:val="24"/>
        </w:rPr>
      </w:pPr>
      <w:r w:rsidRPr="00E61CB7">
        <w:rPr>
          <w:rFonts w:ascii="Times New Roman" w:hAnsi="Times New Roman" w:cs="Times New Roman"/>
          <w:sz w:val="24"/>
          <w:szCs w:val="24"/>
        </w:rPr>
        <w:t>These three pillars collectively form a synergistic framework that propels organizational success. Business excellence models provide the comprehensive roadmap for improvement, ERM safeguards against uncertainties that could derail progress, and program management ensures the effective execution of strategic initiatives. Together, they necessitate and shape the development of meaningful KPIs, transforming them from mere metrics into powerful tools for monitoring progress, ensuring strategic alignment, and fostering continuous adaptation and resilience in pursuit of organizational excellence.</w:t>
      </w:r>
    </w:p>
    <w:p w14:paraId="6F725EFB" w14:textId="2A53D21F" w:rsidR="00E61CB7" w:rsidRPr="00E61CB7" w:rsidRDefault="00E61CB7" w:rsidP="00E61CB7">
      <w:pPr>
        <w:rPr>
          <w:rFonts w:ascii="Times New Roman" w:hAnsi="Times New Roman" w:cs="Times New Roman"/>
          <w:sz w:val="24"/>
          <w:szCs w:val="24"/>
        </w:rPr>
      </w:pPr>
    </w:p>
    <w:p w14:paraId="11B2AD36" w14:textId="77777777" w:rsidR="00E61CB7" w:rsidRPr="00E61CB7" w:rsidRDefault="00E61CB7" w:rsidP="00E61CB7">
      <w:pPr>
        <w:rPr>
          <w:rFonts w:ascii="Times New Roman" w:hAnsi="Times New Roman" w:cs="Times New Roman"/>
          <w:sz w:val="24"/>
          <w:szCs w:val="24"/>
        </w:rPr>
      </w:pPr>
      <w:r w:rsidRPr="00E61CB7">
        <w:rPr>
          <w:rFonts w:ascii="Times New Roman" w:hAnsi="Times New Roman" w:cs="Times New Roman"/>
          <w:sz w:val="24"/>
          <w:szCs w:val="24"/>
        </w:rPr>
        <w:t>References</w:t>
      </w:r>
    </w:p>
    <w:p w14:paraId="71B09FD5" w14:textId="502DC924" w:rsidR="00E61CB7" w:rsidRDefault="00E61CB7" w:rsidP="00601F40">
      <w:pPr>
        <w:ind w:left="720" w:hanging="720"/>
      </w:pPr>
      <w:r w:rsidRPr="00E61CB7">
        <w:rPr>
          <w:rFonts w:ascii="Times New Roman" w:hAnsi="Times New Roman" w:cs="Times New Roman"/>
          <w:sz w:val="24"/>
          <w:szCs w:val="24"/>
        </w:rPr>
        <w:lastRenderedPageBreak/>
        <w:t>COSO. (2017). Enterprise Risk Management—Integrating with Strategy and Performance. Committee of Sponsoring Organizations of the Treadway Commission.</w:t>
      </w:r>
      <w:r>
        <w:rPr>
          <w:rFonts w:ascii="Times New Roman" w:hAnsi="Times New Roman" w:cs="Times New Roman"/>
          <w:sz w:val="24"/>
          <w:szCs w:val="24"/>
        </w:rPr>
        <w:t xml:space="preserve"> </w:t>
      </w:r>
      <w:r>
        <w:rPr>
          <w:i/>
          <w:iCs/>
        </w:rPr>
        <w:t xml:space="preserve">Retrieved from: </w:t>
      </w:r>
      <w:r w:rsidRPr="00E61CB7">
        <w:t xml:space="preserve"> </w:t>
      </w:r>
      <w:hyperlink r:id="rId4" w:history="1">
        <w:r w:rsidRPr="008E14DF">
          <w:rPr>
            <w:rStyle w:val="Hyperlink"/>
          </w:rPr>
          <w:t>https://www.coso.org/enterprise-risk-management</w:t>
        </w:r>
      </w:hyperlink>
    </w:p>
    <w:p w14:paraId="51A9A723" w14:textId="77777777" w:rsidR="00E61CB7" w:rsidRPr="00E61CB7" w:rsidRDefault="00E61CB7" w:rsidP="00601F40">
      <w:pPr>
        <w:ind w:left="720" w:hanging="720"/>
      </w:pPr>
    </w:p>
    <w:p w14:paraId="0EABA4FF" w14:textId="029DA874" w:rsidR="00E61CB7" w:rsidRDefault="00601F40" w:rsidP="00601F40">
      <w:pPr>
        <w:ind w:left="720" w:hanging="720"/>
        <w:rPr>
          <w:rFonts w:ascii="Times New Roman" w:hAnsi="Times New Roman" w:cs="Times New Roman"/>
          <w:sz w:val="24"/>
          <w:szCs w:val="24"/>
        </w:rPr>
      </w:pPr>
      <w:proofErr w:type="spellStart"/>
      <w:r w:rsidRPr="00601F40">
        <w:rPr>
          <w:rFonts w:ascii="Times New Roman" w:hAnsi="Times New Roman" w:cs="Times New Roman"/>
          <w:sz w:val="24"/>
          <w:szCs w:val="24"/>
        </w:rPr>
        <w:t>ExamPrepAI</w:t>
      </w:r>
      <w:proofErr w:type="spellEnd"/>
      <w:r w:rsidRPr="00601F40">
        <w:rPr>
          <w:rFonts w:ascii="Times New Roman" w:hAnsi="Times New Roman" w:cs="Times New Roman"/>
          <w:sz w:val="24"/>
          <w:szCs w:val="24"/>
        </w:rPr>
        <w:t xml:space="preserve"> CPA Review. (2024, June 29). </w:t>
      </w:r>
      <w:r w:rsidRPr="00601F40">
        <w:rPr>
          <w:rFonts w:ascii="Times New Roman" w:hAnsi="Times New Roman" w:cs="Times New Roman"/>
          <w:i/>
          <w:iCs/>
          <w:sz w:val="24"/>
          <w:szCs w:val="24"/>
        </w:rPr>
        <w:t>Introduction to Enterprise Risk Management [CPA PREP]</w:t>
      </w:r>
      <w:r w:rsidRPr="00601F40">
        <w:rPr>
          <w:rFonts w:ascii="Times New Roman" w:hAnsi="Times New Roman" w:cs="Times New Roman"/>
          <w:sz w:val="24"/>
          <w:szCs w:val="24"/>
        </w:rPr>
        <w:t xml:space="preserve"> [Video]. YouTube.</w:t>
      </w:r>
      <w:r>
        <w:rPr>
          <w:rFonts w:ascii="Times New Roman" w:hAnsi="Times New Roman" w:cs="Times New Roman"/>
          <w:sz w:val="24"/>
          <w:szCs w:val="24"/>
        </w:rPr>
        <w:t xml:space="preserve"> Retrieved from:  </w:t>
      </w:r>
      <w:r w:rsidRPr="00601F40">
        <w:rPr>
          <w:rFonts w:ascii="Times New Roman" w:hAnsi="Times New Roman" w:cs="Times New Roman"/>
          <w:sz w:val="24"/>
          <w:szCs w:val="24"/>
        </w:rPr>
        <w:t xml:space="preserve"> </w:t>
      </w:r>
      <w:hyperlink r:id="rId5" w:history="1">
        <w:r w:rsidRPr="00601F40">
          <w:rPr>
            <w:rStyle w:val="Hyperlink"/>
            <w:rFonts w:ascii="Times New Roman" w:hAnsi="Times New Roman" w:cs="Times New Roman"/>
            <w:sz w:val="24"/>
            <w:szCs w:val="24"/>
          </w:rPr>
          <w:t>https://www.youtube.com/watch?v=3D2SIXHXcBk</w:t>
        </w:r>
      </w:hyperlink>
    </w:p>
    <w:p w14:paraId="76330C6C" w14:textId="77777777" w:rsidR="00601F40" w:rsidRDefault="00601F40" w:rsidP="00601F40">
      <w:pPr>
        <w:ind w:left="720" w:hanging="720"/>
        <w:rPr>
          <w:rFonts w:ascii="Times New Roman" w:hAnsi="Times New Roman" w:cs="Times New Roman"/>
          <w:sz w:val="24"/>
          <w:szCs w:val="24"/>
        </w:rPr>
      </w:pPr>
    </w:p>
    <w:p w14:paraId="15D5A096" w14:textId="77777777" w:rsidR="00E61CB7" w:rsidRPr="00E61CB7" w:rsidRDefault="00E61CB7" w:rsidP="00601F40">
      <w:pPr>
        <w:ind w:left="720" w:hanging="720"/>
        <w:rPr>
          <w:rFonts w:ascii="Times New Roman" w:hAnsi="Times New Roman" w:cs="Times New Roman"/>
          <w:sz w:val="24"/>
          <w:szCs w:val="24"/>
        </w:rPr>
      </w:pPr>
    </w:p>
    <w:p w14:paraId="69E57CD6" w14:textId="528D2448" w:rsidR="00E61CB7" w:rsidRDefault="00E61CB7" w:rsidP="00601F40">
      <w:pPr>
        <w:ind w:left="720" w:hanging="720"/>
        <w:rPr>
          <w:rFonts w:ascii="Times New Roman" w:hAnsi="Times New Roman" w:cs="Times New Roman"/>
          <w:sz w:val="24"/>
          <w:szCs w:val="24"/>
        </w:rPr>
      </w:pPr>
      <w:r w:rsidRPr="00E61CB7">
        <w:rPr>
          <w:rFonts w:ascii="Times New Roman" w:hAnsi="Times New Roman" w:cs="Times New Roman"/>
          <w:sz w:val="24"/>
          <w:szCs w:val="24"/>
        </w:rPr>
        <w:t>National Institute of Standards and Technology. (2023). Baldrige Criteria for Performance Excellence. U.S. Department of Commerce.</w:t>
      </w:r>
      <w:r>
        <w:rPr>
          <w:rFonts w:ascii="Times New Roman" w:hAnsi="Times New Roman" w:cs="Times New Roman"/>
          <w:sz w:val="24"/>
          <w:szCs w:val="24"/>
        </w:rPr>
        <w:t xml:space="preserve">  Retrieved from:  </w:t>
      </w:r>
      <w:hyperlink r:id="rId6" w:history="1">
        <w:r w:rsidRPr="008E14DF">
          <w:rPr>
            <w:rStyle w:val="Hyperlink"/>
            <w:rFonts w:ascii="Times New Roman" w:hAnsi="Times New Roman" w:cs="Times New Roman"/>
            <w:sz w:val="24"/>
            <w:szCs w:val="24"/>
          </w:rPr>
          <w:t>https://www.nist.gov/baldrige/publications/baldrige-excellence-framework</w:t>
        </w:r>
      </w:hyperlink>
    </w:p>
    <w:p w14:paraId="0D40AB3F" w14:textId="77777777" w:rsidR="00E61CB7" w:rsidRDefault="00E61CB7" w:rsidP="00601F40">
      <w:pPr>
        <w:ind w:left="720" w:hanging="720"/>
        <w:rPr>
          <w:rFonts w:ascii="Times New Roman" w:hAnsi="Times New Roman" w:cs="Times New Roman"/>
          <w:sz w:val="24"/>
          <w:szCs w:val="24"/>
        </w:rPr>
      </w:pPr>
    </w:p>
    <w:p w14:paraId="6FAF44A7" w14:textId="77777777" w:rsidR="00E61CB7" w:rsidRPr="00E61CB7" w:rsidRDefault="00E61CB7" w:rsidP="00601F40">
      <w:pPr>
        <w:ind w:left="720" w:hanging="720"/>
        <w:rPr>
          <w:rFonts w:ascii="Times New Roman" w:hAnsi="Times New Roman" w:cs="Times New Roman"/>
          <w:sz w:val="24"/>
          <w:szCs w:val="24"/>
        </w:rPr>
      </w:pPr>
    </w:p>
    <w:p w14:paraId="79884144" w14:textId="44A8CD02" w:rsidR="00601F40" w:rsidRDefault="00601F40" w:rsidP="00601F40">
      <w:pPr>
        <w:ind w:left="720" w:hanging="720"/>
        <w:rPr>
          <w:rFonts w:ascii="Times New Roman" w:hAnsi="Times New Roman" w:cs="Times New Roman"/>
          <w:sz w:val="24"/>
          <w:szCs w:val="24"/>
        </w:rPr>
      </w:pPr>
      <w:r w:rsidRPr="00601F40">
        <w:rPr>
          <w:rFonts w:ascii="Times New Roman" w:hAnsi="Times New Roman" w:cs="Times New Roman"/>
          <w:sz w:val="24"/>
          <w:szCs w:val="24"/>
        </w:rPr>
        <w:t xml:space="preserve">Project Management Institute, Inc. (2017). </w:t>
      </w:r>
      <w:r w:rsidRPr="00601F40">
        <w:rPr>
          <w:rFonts w:ascii="Times New Roman" w:hAnsi="Times New Roman" w:cs="Times New Roman"/>
          <w:i/>
          <w:iCs/>
          <w:sz w:val="24"/>
          <w:szCs w:val="24"/>
        </w:rPr>
        <w:t>THE STANDARD FOR PROGRAM MANAGEMENT</w:t>
      </w:r>
      <w:r w:rsidRPr="00601F40">
        <w:rPr>
          <w:rFonts w:ascii="Times New Roman" w:hAnsi="Times New Roman" w:cs="Times New Roman"/>
          <w:sz w:val="24"/>
          <w:szCs w:val="24"/>
        </w:rPr>
        <w:t xml:space="preserve"> (Fourth Edition). </w:t>
      </w:r>
      <w:r>
        <w:rPr>
          <w:rFonts w:ascii="Times New Roman" w:hAnsi="Times New Roman" w:cs="Times New Roman"/>
          <w:sz w:val="24"/>
          <w:szCs w:val="24"/>
        </w:rPr>
        <w:t xml:space="preserve">Retrieved from:  </w:t>
      </w:r>
      <w:hyperlink r:id="rId7" w:history="1">
        <w:r w:rsidRPr="00601F40">
          <w:rPr>
            <w:rStyle w:val="Hyperlink"/>
            <w:rFonts w:ascii="Times New Roman" w:hAnsi="Times New Roman" w:cs="Times New Roman"/>
            <w:sz w:val="24"/>
            <w:szCs w:val="24"/>
          </w:rPr>
          <w:t>http://dl.icdst.org/pdfs/files3/27b0e80bdf3bd39a8d8e69c08b5352da.pdf</w:t>
        </w:r>
      </w:hyperlink>
    </w:p>
    <w:p w14:paraId="7DC5DC8E" w14:textId="77777777" w:rsidR="00601F40" w:rsidRPr="00601F40" w:rsidRDefault="00601F40" w:rsidP="00601F40">
      <w:pPr>
        <w:ind w:left="720" w:hanging="720"/>
        <w:rPr>
          <w:rFonts w:ascii="Times New Roman" w:hAnsi="Times New Roman" w:cs="Times New Roman"/>
          <w:sz w:val="24"/>
          <w:szCs w:val="24"/>
        </w:rPr>
      </w:pPr>
    </w:p>
    <w:p w14:paraId="17554AD5" w14:textId="77777777" w:rsidR="00601F40" w:rsidRDefault="00601F40" w:rsidP="00601F40">
      <w:pPr>
        <w:ind w:left="720" w:hanging="720"/>
        <w:rPr>
          <w:rFonts w:ascii="Times New Roman" w:hAnsi="Times New Roman" w:cs="Times New Roman"/>
          <w:sz w:val="24"/>
          <w:szCs w:val="24"/>
        </w:rPr>
      </w:pPr>
    </w:p>
    <w:p w14:paraId="13C7B20E" w14:textId="1ED502DE" w:rsidR="00601F40" w:rsidRDefault="00601F40" w:rsidP="00601F40">
      <w:pPr>
        <w:ind w:left="720" w:hanging="720"/>
        <w:rPr>
          <w:rFonts w:ascii="Times New Roman" w:hAnsi="Times New Roman" w:cs="Times New Roman"/>
          <w:sz w:val="24"/>
          <w:szCs w:val="24"/>
        </w:rPr>
      </w:pPr>
      <w:r w:rsidRPr="00601F40">
        <w:rPr>
          <w:rFonts w:ascii="Times New Roman" w:hAnsi="Times New Roman" w:cs="Times New Roman"/>
          <w:sz w:val="24"/>
          <w:szCs w:val="24"/>
        </w:rPr>
        <w:t xml:space="preserve">SCF Nuka System of Care. (2021, May 18). </w:t>
      </w:r>
      <w:r w:rsidRPr="00601F40">
        <w:rPr>
          <w:rFonts w:ascii="Times New Roman" w:hAnsi="Times New Roman" w:cs="Times New Roman"/>
          <w:i/>
          <w:iCs/>
          <w:sz w:val="24"/>
          <w:szCs w:val="24"/>
        </w:rPr>
        <w:t xml:space="preserve">Understanding </w:t>
      </w:r>
      <w:proofErr w:type="spellStart"/>
      <w:r w:rsidRPr="00601F40">
        <w:rPr>
          <w:rFonts w:ascii="Times New Roman" w:hAnsi="Times New Roman" w:cs="Times New Roman"/>
          <w:i/>
          <w:iCs/>
          <w:sz w:val="24"/>
          <w:szCs w:val="24"/>
        </w:rPr>
        <w:t>baldrige</w:t>
      </w:r>
      <w:proofErr w:type="spellEnd"/>
      <w:r w:rsidRPr="00601F40">
        <w:rPr>
          <w:rFonts w:ascii="Times New Roman" w:hAnsi="Times New Roman" w:cs="Times New Roman"/>
          <w:i/>
          <w:iCs/>
          <w:sz w:val="24"/>
          <w:szCs w:val="24"/>
        </w:rPr>
        <w:t xml:space="preserve"> criteria for performance excellence</w:t>
      </w:r>
      <w:r w:rsidRPr="00601F40">
        <w:rPr>
          <w:rFonts w:ascii="Times New Roman" w:hAnsi="Times New Roman" w:cs="Times New Roman"/>
          <w:sz w:val="24"/>
          <w:szCs w:val="24"/>
        </w:rPr>
        <w:t xml:space="preserve"> [Video]. YouTube. </w:t>
      </w:r>
      <w:r>
        <w:rPr>
          <w:rFonts w:ascii="Times New Roman" w:hAnsi="Times New Roman" w:cs="Times New Roman"/>
          <w:sz w:val="24"/>
          <w:szCs w:val="24"/>
        </w:rPr>
        <w:t xml:space="preserve">Retrieved from:  </w:t>
      </w:r>
      <w:hyperlink r:id="rId8" w:history="1">
        <w:r w:rsidRPr="00601F40">
          <w:rPr>
            <w:rStyle w:val="Hyperlink"/>
            <w:rFonts w:ascii="Times New Roman" w:hAnsi="Times New Roman" w:cs="Times New Roman"/>
            <w:sz w:val="24"/>
            <w:szCs w:val="24"/>
          </w:rPr>
          <w:t>https://www.youtube.com/watch?v=NCmi39CXUwc</w:t>
        </w:r>
      </w:hyperlink>
    </w:p>
    <w:p w14:paraId="15EB56A8" w14:textId="77777777" w:rsidR="00601F40" w:rsidRPr="00E61CB7" w:rsidRDefault="00601F40" w:rsidP="00E61CB7">
      <w:pPr>
        <w:rPr>
          <w:rFonts w:ascii="Times New Roman" w:hAnsi="Times New Roman" w:cs="Times New Roman"/>
          <w:sz w:val="24"/>
          <w:szCs w:val="24"/>
        </w:rPr>
      </w:pPr>
    </w:p>
    <w:sectPr w:rsidR="00601F40" w:rsidRPr="00E61C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08"/>
    <w:rsid w:val="00371882"/>
    <w:rsid w:val="00601F40"/>
    <w:rsid w:val="006D1B8F"/>
    <w:rsid w:val="00817885"/>
    <w:rsid w:val="00B042BF"/>
    <w:rsid w:val="00C67F76"/>
    <w:rsid w:val="00D16108"/>
    <w:rsid w:val="00E61CB7"/>
    <w:rsid w:val="00F61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BDE6F7"/>
  <w15:chartTrackingRefBased/>
  <w15:docId w15:val="{0CE3CDD1-472B-4155-9B6A-E83AF7C42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61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1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1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1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1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1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1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6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6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108"/>
    <w:rPr>
      <w:rFonts w:eastAsiaTheme="majorEastAsia" w:cstheme="majorBidi"/>
      <w:color w:val="272727" w:themeColor="text1" w:themeTint="D8"/>
    </w:rPr>
  </w:style>
  <w:style w:type="paragraph" w:styleId="Title">
    <w:name w:val="Title"/>
    <w:basedOn w:val="Normal"/>
    <w:next w:val="Normal"/>
    <w:link w:val="TitleChar"/>
    <w:uiPriority w:val="10"/>
    <w:qFormat/>
    <w:rsid w:val="00D161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1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1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108"/>
    <w:rPr>
      <w:i/>
      <w:iCs/>
      <w:color w:val="404040" w:themeColor="text1" w:themeTint="BF"/>
    </w:rPr>
  </w:style>
  <w:style w:type="paragraph" w:styleId="ListParagraph">
    <w:name w:val="List Paragraph"/>
    <w:basedOn w:val="Normal"/>
    <w:uiPriority w:val="34"/>
    <w:qFormat/>
    <w:rsid w:val="00D16108"/>
    <w:pPr>
      <w:ind w:left="720"/>
      <w:contextualSpacing/>
    </w:pPr>
  </w:style>
  <w:style w:type="character" w:styleId="IntenseEmphasis">
    <w:name w:val="Intense Emphasis"/>
    <w:basedOn w:val="DefaultParagraphFont"/>
    <w:uiPriority w:val="21"/>
    <w:qFormat/>
    <w:rsid w:val="00D16108"/>
    <w:rPr>
      <w:i/>
      <w:iCs/>
      <w:color w:val="2F5496" w:themeColor="accent1" w:themeShade="BF"/>
    </w:rPr>
  </w:style>
  <w:style w:type="paragraph" w:styleId="IntenseQuote">
    <w:name w:val="Intense Quote"/>
    <w:basedOn w:val="Normal"/>
    <w:next w:val="Normal"/>
    <w:link w:val="IntenseQuoteChar"/>
    <w:uiPriority w:val="30"/>
    <w:qFormat/>
    <w:rsid w:val="00D16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108"/>
    <w:rPr>
      <w:i/>
      <w:iCs/>
      <w:color w:val="2F5496" w:themeColor="accent1" w:themeShade="BF"/>
    </w:rPr>
  </w:style>
  <w:style w:type="character" w:styleId="IntenseReference">
    <w:name w:val="Intense Reference"/>
    <w:basedOn w:val="DefaultParagraphFont"/>
    <w:uiPriority w:val="32"/>
    <w:qFormat/>
    <w:rsid w:val="00D16108"/>
    <w:rPr>
      <w:b/>
      <w:bCs/>
      <w:smallCaps/>
      <w:color w:val="2F5496" w:themeColor="accent1" w:themeShade="BF"/>
      <w:spacing w:val="5"/>
    </w:rPr>
  </w:style>
  <w:style w:type="paragraph" w:styleId="NormalWeb">
    <w:name w:val="Normal (Web)"/>
    <w:basedOn w:val="Normal"/>
    <w:uiPriority w:val="99"/>
    <w:semiHidden/>
    <w:unhideWhenUsed/>
    <w:rsid w:val="00E61CB7"/>
    <w:rPr>
      <w:rFonts w:ascii="Times New Roman" w:hAnsi="Times New Roman" w:cs="Times New Roman"/>
      <w:sz w:val="24"/>
      <w:szCs w:val="24"/>
    </w:rPr>
  </w:style>
  <w:style w:type="character" w:styleId="Hyperlink">
    <w:name w:val="Hyperlink"/>
    <w:basedOn w:val="DefaultParagraphFont"/>
    <w:uiPriority w:val="99"/>
    <w:unhideWhenUsed/>
    <w:rsid w:val="00E61CB7"/>
    <w:rPr>
      <w:color w:val="0563C1" w:themeColor="hyperlink"/>
      <w:u w:val="single"/>
    </w:rPr>
  </w:style>
  <w:style w:type="character" w:styleId="UnresolvedMention">
    <w:name w:val="Unresolved Mention"/>
    <w:basedOn w:val="DefaultParagraphFont"/>
    <w:uiPriority w:val="99"/>
    <w:semiHidden/>
    <w:unhideWhenUsed/>
    <w:rsid w:val="00E61C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82875">
      <w:bodyDiv w:val="1"/>
      <w:marLeft w:val="0"/>
      <w:marRight w:val="0"/>
      <w:marTop w:val="0"/>
      <w:marBottom w:val="0"/>
      <w:divBdr>
        <w:top w:val="none" w:sz="0" w:space="0" w:color="auto"/>
        <w:left w:val="none" w:sz="0" w:space="0" w:color="auto"/>
        <w:bottom w:val="none" w:sz="0" w:space="0" w:color="auto"/>
        <w:right w:val="none" w:sz="0" w:space="0" w:color="auto"/>
      </w:divBdr>
      <w:divsChild>
        <w:div w:id="415446650">
          <w:marLeft w:val="-720"/>
          <w:marRight w:val="0"/>
          <w:marTop w:val="0"/>
          <w:marBottom w:val="0"/>
          <w:divBdr>
            <w:top w:val="none" w:sz="0" w:space="0" w:color="auto"/>
            <w:left w:val="none" w:sz="0" w:space="0" w:color="auto"/>
            <w:bottom w:val="none" w:sz="0" w:space="0" w:color="auto"/>
            <w:right w:val="none" w:sz="0" w:space="0" w:color="auto"/>
          </w:divBdr>
        </w:div>
      </w:divsChild>
    </w:div>
    <w:div w:id="1111513382">
      <w:bodyDiv w:val="1"/>
      <w:marLeft w:val="0"/>
      <w:marRight w:val="0"/>
      <w:marTop w:val="0"/>
      <w:marBottom w:val="0"/>
      <w:divBdr>
        <w:top w:val="none" w:sz="0" w:space="0" w:color="auto"/>
        <w:left w:val="none" w:sz="0" w:space="0" w:color="auto"/>
        <w:bottom w:val="none" w:sz="0" w:space="0" w:color="auto"/>
        <w:right w:val="none" w:sz="0" w:space="0" w:color="auto"/>
      </w:divBdr>
      <w:divsChild>
        <w:div w:id="1754010390">
          <w:marLeft w:val="-720"/>
          <w:marRight w:val="0"/>
          <w:marTop w:val="0"/>
          <w:marBottom w:val="0"/>
          <w:divBdr>
            <w:top w:val="none" w:sz="0" w:space="0" w:color="auto"/>
            <w:left w:val="none" w:sz="0" w:space="0" w:color="auto"/>
            <w:bottom w:val="none" w:sz="0" w:space="0" w:color="auto"/>
            <w:right w:val="none" w:sz="0" w:space="0" w:color="auto"/>
          </w:divBdr>
        </w:div>
      </w:divsChild>
    </w:div>
    <w:div w:id="1324242927">
      <w:bodyDiv w:val="1"/>
      <w:marLeft w:val="0"/>
      <w:marRight w:val="0"/>
      <w:marTop w:val="0"/>
      <w:marBottom w:val="0"/>
      <w:divBdr>
        <w:top w:val="none" w:sz="0" w:space="0" w:color="auto"/>
        <w:left w:val="none" w:sz="0" w:space="0" w:color="auto"/>
        <w:bottom w:val="none" w:sz="0" w:space="0" w:color="auto"/>
        <w:right w:val="none" w:sz="0" w:space="0" w:color="auto"/>
      </w:divBdr>
      <w:divsChild>
        <w:div w:id="2016569573">
          <w:marLeft w:val="-720"/>
          <w:marRight w:val="0"/>
          <w:marTop w:val="0"/>
          <w:marBottom w:val="0"/>
          <w:divBdr>
            <w:top w:val="none" w:sz="0" w:space="0" w:color="auto"/>
            <w:left w:val="none" w:sz="0" w:space="0" w:color="auto"/>
            <w:bottom w:val="none" w:sz="0" w:space="0" w:color="auto"/>
            <w:right w:val="none" w:sz="0" w:space="0" w:color="auto"/>
          </w:divBdr>
        </w:div>
      </w:divsChild>
    </w:div>
    <w:div w:id="1460341323">
      <w:bodyDiv w:val="1"/>
      <w:marLeft w:val="0"/>
      <w:marRight w:val="0"/>
      <w:marTop w:val="0"/>
      <w:marBottom w:val="0"/>
      <w:divBdr>
        <w:top w:val="none" w:sz="0" w:space="0" w:color="auto"/>
        <w:left w:val="none" w:sz="0" w:space="0" w:color="auto"/>
        <w:bottom w:val="none" w:sz="0" w:space="0" w:color="auto"/>
        <w:right w:val="none" w:sz="0" w:space="0" w:color="auto"/>
      </w:divBdr>
    </w:div>
    <w:div w:id="1477717438">
      <w:bodyDiv w:val="1"/>
      <w:marLeft w:val="0"/>
      <w:marRight w:val="0"/>
      <w:marTop w:val="0"/>
      <w:marBottom w:val="0"/>
      <w:divBdr>
        <w:top w:val="none" w:sz="0" w:space="0" w:color="auto"/>
        <w:left w:val="none" w:sz="0" w:space="0" w:color="auto"/>
        <w:bottom w:val="none" w:sz="0" w:space="0" w:color="auto"/>
        <w:right w:val="none" w:sz="0" w:space="0" w:color="auto"/>
      </w:divBdr>
      <w:divsChild>
        <w:div w:id="1679430072">
          <w:marLeft w:val="-720"/>
          <w:marRight w:val="0"/>
          <w:marTop w:val="0"/>
          <w:marBottom w:val="0"/>
          <w:divBdr>
            <w:top w:val="none" w:sz="0" w:space="0" w:color="auto"/>
            <w:left w:val="none" w:sz="0" w:space="0" w:color="auto"/>
            <w:bottom w:val="none" w:sz="0" w:space="0" w:color="auto"/>
            <w:right w:val="none" w:sz="0" w:space="0" w:color="auto"/>
          </w:divBdr>
        </w:div>
      </w:divsChild>
    </w:div>
    <w:div w:id="1784153465">
      <w:bodyDiv w:val="1"/>
      <w:marLeft w:val="0"/>
      <w:marRight w:val="0"/>
      <w:marTop w:val="0"/>
      <w:marBottom w:val="0"/>
      <w:divBdr>
        <w:top w:val="none" w:sz="0" w:space="0" w:color="auto"/>
        <w:left w:val="none" w:sz="0" w:space="0" w:color="auto"/>
        <w:bottom w:val="none" w:sz="0" w:space="0" w:color="auto"/>
        <w:right w:val="none" w:sz="0" w:space="0" w:color="auto"/>
      </w:divBdr>
      <w:divsChild>
        <w:div w:id="912423941">
          <w:marLeft w:val="-720"/>
          <w:marRight w:val="0"/>
          <w:marTop w:val="0"/>
          <w:marBottom w:val="0"/>
          <w:divBdr>
            <w:top w:val="none" w:sz="0" w:space="0" w:color="auto"/>
            <w:left w:val="none" w:sz="0" w:space="0" w:color="auto"/>
            <w:bottom w:val="none" w:sz="0" w:space="0" w:color="auto"/>
            <w:right w:val="none" w:sz="0" w:space="0" w:color="auto"/>
          </w:divBdr>
        </w:div>
      </w:divsChild>
    </w:div>
    <w:div w:id="1935625541">
      <w:bodyDiv w:val="1"/>
      <w:marLeft w:val="0"/>
      <w:marRight w:val="0"/>
      <w:marTop w:val="0"/>
      <w:marBottom w:val="0"/>
      <w:divBdr>
        <w:top w:val="none" w:sz="0" w:space="0" w:color="auto"/>
        <w:left w:val="none" w:sz="0" w:space="0" w:color="auto"/>
        <w:bottom w:val="none" w:sz="0" w:space="0" w:color="auto"/>
        <w:right w:val="none" w:sz="0" w:space="0" w:color="auto"/>
      </w:divBdr>
      <w:divsChild>
        <w:div w:id="2036421074">
          <w:marLeft w:val="-720"/>
          <w:marRight w:val="0"/>
          <w:marTop w:val="0"/>
          <w:marBottom w:val="0"/>
          <w:divBdr>
            <w:top w:val="none" w:sz="0" w:space="0" w:color="auto"/>
            <w:left w:val="none" w:sz="0" w:space="0" w:color="auto"/>
            <w:bottom w:val="none" w:sz="0" w:space="0" w:color="auto"/>
            <w:right w:val="none" w:sz="0" w:space="0" w:color="auto"/>
          </w:divBdr>
        </w:div>
      </w:divsChild>
    </w:div>
    <w:div w:id="2058116661">
      <w:bodyDiv w:val="1"/>
      <w:marLeft w:val="0"/>
      <w:marRight w:val="0"/>
      <w:marTop w:val="0"/>
      <w:marBottom w:val="0"/>
      <w:divBdr>
        <w:top w:val="none" w:sz="0" w:space="0" w:color="auto"/>
        <w:left w:val="none" w:sz="0" w:space="0" w:color="auto"/>
        <w:bottom w:val="none" w:sz="0" w:space="0" w:color="auto"/>
        <w:right w:val="none" w:sz="0" w:space="0" w:color="auto"/>
      </w:divBdr>
      <w:divsChild>
        <w:div w:id="152727006">
          <w:marLeft w:val="-720"/>
          <w:marRight w:val="0"/>
          <w:marTop w:val="0"/>
          <w:marBottom w:val="0"/>
          <w:divBdr>
            <w:top w:val="none" w:sz="0" w:space="0" w:color="auto"/>
            <w:left w:val="none" w:sz="0" w:space="0" w:color="auto"/>
            <w:bottom w:val="none" w:sz="0" w:space="0" w:color="auto"/>
            <w:right w:val="none" w:sz="0" w:space="0" w:color="auto"/>
          </w:divBdr>
        </w:div>
      </w:divsChild>
    </w:div>
    <w:div w:id="2102099911">
      <w:bodyDiv w:val="1"/>
      <w:marLeft w:val="0"/>
      <w:marRight w:val="0"/>
      <w:marTop w:val="0"/>
      <w:marBottom w:val="0"/>
      <w:divBdr>
        <w:top w:val="none" w:sz="0" w:space="0" w:color="auto"/>
        <w:left w:val="none" w:sz="0" w:space="0" w:color="auto"/>
        <w:bottom w:val="none" w:sz="0" w:space="0" w:color="auto"/>
        <w:right w:val="none" w:sz="0" w:space="0" w:color="auto"/>
      </w:divBdr>
      <w:divsChild>
        <w:div w:id="664238058">
          <w:marLeft w:val="-720"/>
          <w:marRight w:val="0"/>
          <w:marTop w:val="0"/>
          <w:marBottom w:val="0"/>
          <w:divBdr>
            <w:top w:val="none" w:sz="0" w:space="0" w:color="auto"/>
            <w:left w:val="none" w:sz="0" w:space="0" w:color="auto"/>
            <w:bottom w:val="none" w:sz="0" w:space="0" w:color="auto"/>
            <w:right w:val="none" w:sz="0" w:space="0" w:color="auto"/>
          </w:divBdr>
        </w:div>
      </w:divsChild>
    </w:div>
    <w:div w:id="211447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NCmi39CXUwc" TargetMode="External"/><Relationship Id="rId3" Type="http://schemas.openxmlformats.org/officeDocument/2006/relationships/webSettings" Target="webSettings.xml"/><Relationship Id="rId7" Type="http://schemas.openxmlformats.org/officeDocument/2006/relationships/hyperlink" Target="http://dl.icdst.org/pdfs/files3/27b0e80bdf3bd39a8d8e69c08b5352da.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ist.gov/baldrige/publications/baldrige-excellence-framework" TargetMode="External"/><Relationship Id="rId5" Type="http://schemas.openxmlformats.org/officeDocument/2006/relationships/hyperlink" Target="https://www.youtube.com/watch?v=3D2SIXHXcBk" TargetMode="External"/><Relationship Id="rId10" Type="http://schemas.openxmlformats.org/officeDocument/2006/relationships/theme" Target="theme/theme1.xml"/><Relationship Id="rId4" Type="http://schemas.openxmlformats.org/officeDocument/2006/relationships/hyperlink" Target="https://www.coso.org/enterprise-risk-managemen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583</Words>
  <Characters>4256</Characters>
  <Application>Microsoft Office Word</Application>
  <DocSecurity>0</DocSecurity>
  <Lines>72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2</cp:revision>
  <dcterms:created xsi:type="dcterms:W3CDTF">2025-08-04T02:16:00Z</dcterms:created>
  <dcterms:modified xsi:type="dcterms:W3CDTF">2025-08-04T02:31:00Z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dd7128e2-856b-4c66-95cc-fa039acce3db</vt:lpwstr>
  </property>
</Properties>
</file>