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9ECA" w14:textId="77777777" w:rsidR="00D408A4" w:rsidRPr="00D408A4" w:rsidRDefault="00D408A4" w:rsidP="00D408A4">
      <w:r w:rsidRPr="00D408A4">
        <w:rPr>
          <w:b/>
          <w:bCs/>
        </w:rPr>
        <w:t>Background and Research Overview</w:t>
      </w:r>
    </w:p>
    <w:p w14:paraId="22B19CE7" w14:textId="77777777" w:rsidR="00D408A4" w:rsidRPr="00D408A4" w:rsidRDefault="00D408A4" w:rsidP="00D408A4">
      <w:r w:rsidRPr="00D408A4">
        <w:t xml:space="preserve">This request supports the revision of a manuscript currently under review at </w:t>
      </w:r>
      <w:r w:rsidRPr="00D408A4">
        <w:rPr>
          <w:i/>
          <w:iCs/>
        </w:rPr>
        <w:t>Nature Methods</w:t>
      </w:r>
      <w:r w:rsidRPr="00D408A4">
        <w:t xml:space="preserve">, titled "Accounting for uncertainty in residual variances improves calibration for </w:t>
      </w:r>
      <w:proofErr w:type="gramStart"/>
      <w:r w:rsidRPr="00D408A4">
        <w:t>fine-mapping</w:t>
      </w:r>
      <w:proofErr w:type="gramEnd"/>
      <w:r w:rsidRPr="00D408A4">
        <w:t xml:space="preserve"> with small sample sizes." The manuscript introduces SS-SER, a modification of the widely used </w:t>
      </w:r>
      <w:proofErr w:type="spellStart"/>
      <w:r w:rsidRPr="00D408A4">
        <w:t>SuSiE</w:t>
      </w:r>
      <w:proofErr w:type="spellEnd"/>
      <w:r w:rsidRPr="00D408A4">
        <w:t xml:space="preserve"> (Sum of Single Effects) fine-mapping method that addresses systematic miscalibration of credible sets in small-sample genomic studies (n ≤ 50). The SS-SER modification places a conjugate inverse-gamma prior on the residual variance, replacing the maximum likelihood point estimate used in the original </w:t>
      </w:r>
      <w:proofErr w:type="spellStart"/>
      <w:r w:rsidRPr="00D408A4">
        <w:t>SuSiE</w:t>
      </w:r>
      <w:proofErr w:type="spellEnd"/>
      <w:r w:rsidRPr="00D408A4">
        <w:t xml:space="preserve"> formulation. This yields substantially better-calibrated credible sets in small-sample settings such as QTL studies in rare cell types or complex experimental designs, at no additional computational cost. The method has been implemented in the </w:t>
      </w:r>
      <w:proofErr w:type="spellStart"/>
      <w:r w:rsidRPr="00D408A4">
        <w:t>susieR</w:t>
      </w:r>
      <w:proofErr w:type="spellEnd"/>
      <w:r w:rsidRPr="00D408A4">
        <w:t xml:space="preserve"> R package and validated on RNA-seq </w:t>
      </w:r>
      <w:proofErr w:type="spellStart"/>
      <w:r w:rsidRPr="00D408A4">
        <w:t>eQTL</w:t>
      </w:r>
      <w:proofErr w:type="spellEnd"/>
      <w:r w:rsidRPr="00D408A4">
        <w:t xml:space="preserve"> data from microglia and primary macrophages.</w:t>
      </w:r>
    </w:p>
    <w:p w14:paraId="12DD0484" w14:textId="77777777" w:rsidR="00D408A4" w:rsidRPr="00D408A4" w:rsidRDefault="00D408A4" w:rsidP="00D408A4">
      <w:r w:rsidRPr="00D408A4">
        <w:t xml:space="preserve">The revision requested by </w:t>
      </w:r>
      <w:r w:rsidRPr="00D408A4">
        <w:rPr>
          <w:i/>
          <w:iCs/>
        </w:rPr>
        <w:t>Nature Methods</w:t>
      </w:r>
      <w:r w:rsidRPr="00D408A4">
        <w:t xml:space="preserve"> reviewers requires expanded simulation studies and additional biological validation analyses, described in detail below. These tasks are computationally intensive, involving large-scale parallel simulations across a high-dimensional grid of parameter settings, and require HPC resources to complete within the revision deadline.</w:t>
      </w:r>
    </w:p>
    <w:p w14:paraId="4402F114" w14:textId="77777777" w:rsidR="00D408A4" w:rsidRPr="00D408A4" w:rsidRDefault="00D408A4" w:rsidP="00D408A4">
      <w:r w:rsidRPr="00D408A4">
        <w:rPr>
          <w:b/>
          <w:bCs/>
        </w:rPr>
        <w:t>Computational Tasks</w:t>
      </w:r>
    </w:p>
    <w:p w14:paraId="3FE75DCA" w14:textId="77777777" w:rsidR="00D408A4" w:rsidRPr="00D408A4" w:rsidRDefault="00D408A4" w:rsidP="00D408A4">
      <w:r w:rsidRPr="00D408A4">
        <w:t>The following tasks require the requested allocation:</w:t>
      </w:r>
    </w:p>
    <w:p w14:paraId="2A05D9D6" w14:textId="77777777" w:rsidR="00D408A4" w:rsidRPr="00D408A4" w:rsidRDefault="00D408A4" w:rsidP="00D408A4">
      <w:r w:rsidRPr="00D408A4">
        <w:rPr>
          <w:i/>
          <w:iCs/>
        </w:rPr>
        <w:t>1. Extended simulation studies (estimated ~50,000 SUs).</w:t>
      </w:r>
      <w:r w:rsidRPr="00D408A4">
        <w:t xml:space="preserve"> Reviewers requested expanded coverage benchmarks across a broader grid of sample sizes (N = 10, 15, 20, 30, 50, 75, 100, 200) and </w:t>
      </w:r>
      <w:proofErr w:type="spellStart"/>
      <w:r w:rsidRPr="00D408A4">
        <w:t>heritabilities</w:t>
      </w:r>
      <w:proofErr w:type="spellEnd"/>
      <w:r w:rsidRPr="00D408A4">
        <w:t xml:space="preserve"> (h² = 0.05, 0.10, 0.15, 0.25, 0.30, 0.50, 0.75), with 500–1,000 simulation replicates per parameter combination. Each replicate involves sampling a genomic region from the 1000 Genomes Phase 3 data, simulating phenotypes, and running both the default </w:t>
      </w:r>
      <w:proofErr w:type="spellStart"/>
      <w:r w:rsidRPr="00D408A4">
        <w:t>SuSiE</w:t>
      </w:r>
      <w:proofErr w:type="spellEnd"/>
      <w:r w:rsidRPr="00D408A4">
        <w:t xml:space="preserve"> and </w:t>
      </w:r>
      <w:proofErr w:type="spellStart"/>
      <w:r w:rsidRPr="00D408A4">
        <w:t>SuSiE</w:t>
      </w:r>
      <w:proofErr w:type="spellEnd"/>
      <w:r w:rsidRPr="00D408A4">
        <w:t xml:space="preserve"> with SS-SER. A single replicate requires approximately 1–3 CPU-minutes depending on locus size and number of causal variants (L = 1–10). Across the full grid (~8 × 7 × 750 replicates × ~2 CPU-min average), the total is approximately 42,000–50,000 SU.</w:t>
      </w:r>
    </w:p>
    <w:p w14:paraId="3D82BD36" w14:textId="77777777" w:rsidR="00D408A4" w:rsidRPr="00D408A4" w:rsidRDefault="00D408A4" w:rsidP="00D408A4">
      <w:r w:rsidRPr="00D408A4">
        <w:rPr>
          <w:i/>
          <w:iCs/>
        </w:rPr>
        <w:t>2. Biological validation on additional QTL datasets (estimated ~20,000 SUs).</w:t>
      </w:r>
      <w:r w:rsidRPr="00D408A4">
        <w:t xml:space="preserve"> Reviewers requested genome-wide fine-mapping applied to two additional small-sample QTL datasets beyond those already reported (Aracena et al., n=35; Lopes et al., n=47). </w:t>
      </w:r>
      <w:proofErr w:type="gramStart"/>
      <w:r w:rsidRPr="00D408A4">
        <w:t>Fine-mapping</w:t>
      </w:r>
      <w:proofErr w:type="gramEnd"/>
      <w:r w:rsidRPr="00D408A4">
        <w:t xml:space="preserve"> each gene requires fitting </w:t>
      </w:r>
      <w:proofErr w:type="spellStart"/>
      <w:r w:rsidRPr="00D408A4">
        <w:t>SuSiE</w:t>
      </w:r>
      <w:proofErr w:type="spellEnd"/>
      <w:r w:rsidRPr="00D408A4">
        <w:t xml:space="preserve"> across a window of several thousand SNPs. Genome-wide analyses across ~15,000 genes per dataset, run in parallel using SLURM array jobs, require approximately 8,000–12,000 SU per dataset.</w:t>
      </w:r>
    </w:p>
    <w:p w14:paraId="5BA18B9E" w14:textId="77777777" w:rsidR="00D408A4" w:rsidRPr="00D408A4" w:rsidRDefault="00D408A4" w:rsidP="00D408A4">
      <w:r w:rsidRPr="00D408A4">
        <w:rPr>
          <w:i/>
          <w:iCs/>
        </w:rPr>
        <w:lastRenderedPageBreak/>
        <w:t>3. Calibration and PIP assessment scripts, miscellaneous re-runs (estimated ~10,000 SUs).</w:t>
      </w:r>
      <w:r w:rsidRPr="00D408A4">
        <w:t xml:space="preserve"> Additional calibration analyses (ROC/AUC curves, precision-recall curves, PIP calibration plots) and sensitivity analyses requested by reviewers require rerunning portions of the simulation pipeline under modified configurations (e.g., varied purity thresholds, alternative prior settings). These are estimated to require 8,000–10,000 SU collectively.</w:t>
      </w:r>
    </w:p>
    <w:p w14:paraId="5F7625C8" w14:textId="77777777" w:rsidR="00D408A4" w:rsidRPr="00D408A4" w:rsidRDefault="00D408A4" w:rsidP="00D408A4">
      <w:r w:rsidRPr="00D408A4">
        <w:rPr>
          <w:b/>
          <w:bCs/>
        </w:rPr>
        <w:t>SU Estimate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3"/>
        <w:gridCol w:w="1668"/>
      </w:tblGrid>
      <w:tr w:rsidR="00D408A4" w:rsidRPr="00D408A4" w14:paraId="5521E828" w14:textId="77777777">
        <w:trPr>
          <w:tblHeader/>
          <w:tblCellSpacing w:w="15" w:type="dxa"/>
        </w:trPr>
        <w:tc>
          <w:tcPr>
            <w:tcW w:w="0" w:type="auto"/>
            <w:vAlign w:val="center"/>
            <w:hideMark/>
          </w:tcPr>
          <w:p w14:paraId="52944D63" w14:textId="77777777" w:rsidR="00D408A4" w:rsidRPr="00D408A4" w:rsidRDefault="00D408A4" w:rsidP="00D408A4">
            <w:pPr>
              <w:rPr>
                <w:b/>
                <w:bCs/>
              </w:rPr>
            </w:pPr>
            <w:r w:rsidRPr="00D408A4">
              <w:rPr>
                <w:b/>
                <w:bCs/>
              </w:rPr>
              <w:t>Task</w:t>
            </w:r>
          </w:p>
        </w:tc>
        <w:tc>
          <w:tcPr>
            <w:tcW w:w="0" w:type="auto"/>
            <w:vAlign w:val="center"/>
            <w:hideMark/>
          </w:tcPr>
          <w:p w14:paraId="1E699FBD" w14:textId="77777777" w:rsidR="00D408A4" w:rsidRPr="00D408A4" w:rsidRDefault="00D408A4" w:rsidP="00D408A4">
            <w:pPr>
              <w:rPr>
                <w:b/>
                <w:bCs/>
              </w:rPr>
            </w:pPr>
            <w:r w:rsidRPr="00D408A4">
              <w:rPr>
                <w:b/>
                <w:bCs/>
              </w:rPr>
              <w:t>Estimated SUs</w:t>
            </w:r>
          </w:p>
        </w:tc>
      </w:tr>
      <w:tr w:rsidR="00D408A4" w:rsidRPr="00D408A4" w14:paraId="263C353B" w14:textId="77777777">
        <w:trPr>
          <w:tblCellSpacing w:w="15" w:type="dxa"/>
        </w:trPr>
        <w:tc>
          <w:tcPr>
            <w:tcW w:w="0" w:type="auto"/>
            <w:vAlign w:val="center"/>
            <w:hideMark/>
          </w:tcPr>
          <w:p w14:paraId="10D41FD9" w14:textId="77777777" w:rsidR="00D408A4" w:rsidRPr="00D408A4" w:rsidRDefault="00D408A4" w:rsidP="00D408A4">
            <w:r w:rsidRPr="00D408A4">
              <w:t>Extended simulation grid</w:t>
            </w:r>
          </w:p>
        </w:tc>
        <w:tc>
          <w:tcPr>
            <w:tcW w:w="0" w:type="auto"/>
            <w:vAlign w:val="center"/>
            <w:hideMark/>
          </w:tcPr>
          <w:p w14:paraId="34D68F17" w14:textId="77777777" w:rsidR="00D408A4" w:rsidRPr="00D408A4" w:rsidRDefault="00D408A4" w:rsidP="00D408A4">
            <w:r w:rsidRPr="00D408A4">
              <w:t>~50,000</w:t>
            </w:r>
          </w:p>
        </w:tc>
      </w:tr>
      <w:tr w:rsidR="00D408A4" w:rsidRPr="00D408A4" w14:paraId="5E49DC9B" w14:textId="77777777">
        <w:trPr>
          <w:tblCellSpacing w:w="15" w:type="dxa"/>
        </w:trPr>
        <w:tc>
          <w:tcPr>
            <w:tcW w:w="0" w:type="auto"/>
            <w:vAlign w:val="center"/>
            <w:hideMark/>
          </w:tcPr>
          <w:p w14:paraId="6ED2E409" w14:textId="77777777" w:rsidR="00D408A4" w:rsidRPr="00D408A4" w:rsidRDefault="00D408A4" w:rsidP="00D408A4">
            <w:r w:rsidRPr="00D408A4">
              <w:t>Genome-wide QTL biological validation</w:t>
            </w:r>
          </w:p>
        </w:tc>
        <w:tc>
          <w:tcPr>
            <w:tcW w:w="0" w:type="auto"/>
            <w:vAlign w:val="center"/>
            <w:hideMark/>
          </w:tcPr>
          <w:p w14:paraId="2B8311AD" w14:textId="77777777" w:rsidR="00D408A4" w:rsidRPr="00D408A4" w:rsidRDefault="00D408A4" w:rsidP="00D408A4">
            <w:r w:rsidRPr="00D408A4">
              <w:t>~20,000</w:t>
            </w:r>
          </w:p>
        </w:tc>
      </w:tr>
      <w:tr w:rsidR="00D408A4" w:rsidRPr="00D408A4" w14:paraId="163FFF97" w14:textId="77777777">
        <w:trPr>
          <w:tblCellSpacing w:w="15" w:type="dxa"/>
        </w:trPr>
        <w:tc>
          <w:tcPr>
            <w:tcW w:w="0" w:type="auto"/>
            <w:vAlign w:val="center"/>
            <w:hideMark/>
          </w:tcPr>
          <w:p w14:paraId="52A12071" w14:textId="77777777" w:rsidR="00D408A4" w:rsidRPr="00D408A4" w:rsidRDefault="00D408A4" w:rsidP="00D408A4">
            <w:r w:rsidRPr="00D408A4">
              <w:t>Calibration/sensitivity re-runs</w:t>
            </w:r>
          </w:p>
        </w:tc>
        <w:tc>
          <w:tcPr>
            <w:tcW w:w="0" w:type="auto"/>
            <w:vAlign w:val="center"/>
            <w:hideMark/>
          </w:tcPr>
          <w:p w14:paraId="0A666BBE" w14:textId="77777777" w:rsidR="00D408A4" w:rsidRPr="00D408A4" w:rsidRDefault="00D408A4" w:rsidP="00D408A4">
            <w:r w:rsidRPr="00D408A4">
              <w:t>~10,000</w:t>
            </w:r>
          </w:p>
        </w:tc>
      </w:tr>
      <w:tr w:rsidR="00D408A4" w:rsidRPr="00D408A4" w14:paraId="3C83A4DC" w14:textId="77777777">
        <w:trPr>
          <w:tblCellSpacing w:w="15" w:type="dxa"/>
        </w:trPr>
        <w:tc>
          <w:tcPr>
            <w:tcW w:w="0" w:type="auto"/>
            <w:vAlign w:val="center"/>
            <w:hideMark/>
          </w:tcPr>
          <w:p w14:paraId="303CF3BC" w14:textId="77777777" w:rsidR="00D408A4" w:rsidRPr="00D408A4" w:rsidRDefault="00D408A4" w:rsidP="00D408A4">
            <w:r w:rsidRPr="00D408A4">
              <w:rPr>
                <w:b/>
                <w:bCs/>
              </w:rPr>
              <w:t>Total</w:t>
            </w:r>
          </w:p>
        </w:tc>
        <w:tc>
          <w:tcPr>
            <w:tcW w:w="0" w:type="auto"/>
            <w:vAlign w:val="center"/>
            <w:hideMark/>
          </w:tcPr>
          <w:p w14:paraId="2D5F4FC3" w14:textId="77777777" w:rsidR="00D408A4" w:rsidRPr="00D408A4" w:rsidRDefault="00D408A4" w:rsidP="00D408A4">
            <w:r w:rsidRPr="00D408A4">
              <w:rPr>
                <w:b/>
                <w:bCs/>
              </w:rPr>
              <w:t>~80,000</w:t>
            </w:r>
          </w:p>
        </w:tc>
      </w:tr>
    </w:tbl>
    <w:p w14:paraId="7E0C4DE7" w14:textId="77777777" w:rsidR="00D408A4" w:rsidRPr="00D408A4" w:rsidRDefault="00D408A4" w:rsidP="00D408A4">
      <w:r w:rsidRPr="00D408A4">
        <w:rPr>
          <w:b/>
          <w:bCs/>
        </w:rPr>
        <w:t>Prior Allocation Outcomes</w:t>
      </w:r>
    </w:p>
    <w:p w14:paraId="39158596" w14:textId="77777777" w:rsidR="00D408A4" w:rsidRPr="00D408A4" w:rsidRDefault="00D408A4" w:rsidP="00D408A4">
      <w:r w:rsidRPr="00D408A4">
        <w:t xml:space="preserve">Previous RCC allocations supported the development and initial simulation validation of the SS-SER method, the genome-wide fine-mapping analyses on the Aracena et al. and Lopes et al. datasets reported in the current manuscript, and the implementation of SS-SER within </w:t>
      </w:r>
      <w:proofErr w:type="spellStart"/>
      <w:r w:rsidRPr="00D408A4">
        <w:t>susieR</w:t>
      </w:r>
      <w:proofErr w:type="spellEnd"/>
      <w:r w:rsidRPr="00D408A4">
        <w:t xml:space="preserve">. This work has resulted in the manuscript currently under revision at </w:t>
      </w:r>
      <w:r w:rsidRPr="00D408A4">
        <w:rPr>
          <w:i/>
          <w:iCs/>
        </w:rPr>
        <w:t>Nature Methods</w:t>
      </w:r>
      <w:r w:rsidRPr="00D408A4">
        <w:t xml:space="preserve"> (Denault et al., "Accounting for uncertainty in residual variances improves calibration for </w:t>
      </w:r>
      <w:proofErr w:type="gramStart"/>
      <w:r w:rsidRPr="00D408A4">
        <w:t>fine-mapping</w:t>
      </w:r>
      <w:proofErr w:type="gramEnd"/>
      <w:r w:rsidRPr="00D408A4">
        <w:t xml:space="preserve"> with small sample sizes"). Code is publicly available at </w:t>
      </w:r>
      <w:hyperlink r:id="rId4" w:history="1">
        <w:r w:rsidRPr="00D408A4">
          <w:rPr>
            <w:rStyle w:val="Hyperlink"/>
          </w:rPr>
          <w:t>https://github.com/william-denault/susie_small_sample</w:t>
        </w:r>
      </w:hyperlink>
      <w:r w:rsidRPr="00D408A4">
        <w:t>.</w:t>
      </w:r>
    </w:p>
    <w:p w14:paraId="3EA2BCA0" w14:textId="77777777" w:rsidR="00D408A4" w:rsidRDefault="00D408A4"/>
    <w:sectPr w:rsidR="00D40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A4"/>
    <w:rsid w:val="00630934"/>
    <w:rsid w:val="00D40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86FC1"/>
  <w15:chartTrackingRefBased/>
  <w15:docId w15:val="{66BA0101-C0A2-4AD0-8603-FE66622C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A4"/>
    <w:rPr>
      <w:rFonts w:eastAsiaTheme="majorEastAsia" w:cstheme="majorBidi"/>
      <w:color w:val="272727" w:themeColor="text1" w:themeTint="D8"/>
    </w:rPr>
  </w:style>
  <w:style w:type="paragraph" w:styleId="Title">
    <w:name w:val="Title"/>
    <w:basedOn w:val="Normal"/>
    <w:next w:val="Normal"/>
    <w:link w:val="TitleChar"/>
    <w:uiPriority w:val="10"/>
    <w:qFormat/>
    <w:rsid w:val="00D4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A4"/>
    <w:pPr>
      <w:spacing w:before="160"/>
      <w:jc w:val="center"/>
    </w:pPr>
    <w:rPr>
      <w:i/>
      <w:iCs/>
      <w:color w:val="404040" w:themeColor="text1" w:themeTint="BF"/>
    </w:rPr>
  </w:style>
  <w:style w:type="character" w:customStyle="1" w:styleId="QuoteChar">
    <w:name w:val="Quote Char"/>
    <w:basedOn w:val="DefaultParagraphFont"/>
    <w:link w:val="Quote"/>
    <w:uiPriority w:val="29"/>
    <w:rsid w:val="00D408A4"/>
    <w:rPr>
      <w:i/>
      <w:iCs/>
      <w:color w:val="404040" w:themeColor="text1" w:themeTint="BF"/>
    </w:rPr>
  </w:style>
  <w:style w:type="paragraph" w:styleId="ListParagraph">
    <w:name w:val="List Paragraph"/>
    <w:basedOn w:val="Normal"/>
    <w:uiPriority w:val="34"/>
    <w:qFormat/>
    <w:rsid w:val="00D408A4"/>
    <w:pPr>
      <w:ind w:left="720"/>
      <w:contextualSpacing/>
    </w:pPr>
  </w:style>
  <w:style w:type="character" w:styleId="IntenseEmphasis">
    <w:name w:val="Intense Emphasis"/>
    <w:basedOn w:val="DefaultParagraphFont"/>
    <w:uiPriority w:val="21"/>
    <w:qFormat/>
    <w:rsid w:val="00D408A4"/>
    <w:rPr>
      <w:i/>
      <w:iCs/>
      <w:color w:val="0F4761" w:themeColor="accent1" w:themeShade="BF"/>
    </w:rPr>
  </w:style>
  <w:style w:type="paragraph" w:styleId="IntenseQuote">
    <w:name w:val="Intense Quote"/>
    <w:basedOn w:val="Normal"/>
    <w:next w:val="Normal"/>
    <w:link w:val="IntenseQuoteChar"/>
    <w:uiPriority w:val="30"/>
    <w:qFormat/>
    <w:rsid w:val="00D40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A4"/>
    <w:rPr>
      <w:i/>
      <w:iCs/>
      <w:color w:val="0F4761" w:themeColor="accent1" w:themeShade="BF"/>
    </w:rPr>
  </w:style>
  <w:style w:type="character" w:styleId="IntenseReference">
    <w:name w:val="Intense Reference"/>
    <w:basedOn w:val="DefaultParagraphFont"/>
    <w:uiPriority w:val="32"/>
    <w:qFormat/>
    <w:rsid w:val="00D408A4"/>
    <w:rPr>
      <w:b/>
      <w:bCs/>
      <w:smallCaps/>
      <w:color w:val="0F4761" w:themeColor="accent1" w:themeShade="BF"/>
      <w:spacing w:val="5"/>
    </w:rPr>
  </w:style>
  <w:style w:type="character" w:styleId="Hyperlink">
    <w:name w:val="Hyperlink"/>
    <w:basedOn w:val="DefaultParagraphFont"/>
    <w:uiPriority w:val="99"/>
    <w:unhideWhenUsed/>
    <w:rsid w:val="00D408A4"/>
    <w:rPr>
      <w:color w:val="467886" w:themeColor="hyperlink"/>
      <w:u w:val="single"/>
    </w:rPr>
  </w:style>
  <w:style w:type="character" w:styleId="UnresolvedMention">
    <w:name w:val="Unresolved Mention"/>
    <w:basedOn w:val="DefaultParagraphFont"/>
    <w:uiPriority w:val="99"/>
    <w:semiHidden/>
    <w:unhideWhenUsed/>
    <w:rsid w:val="00D40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william-denault/susie_small_s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Denault</dc:creator>
  <cp:keywords/>
  <dc:description/>
  <cp:lastModifiedBy>William Denault</cp:lastModifiedBy>
  <cp:revision>1</cp:revision>
  <dcterms:created xsi:type="dcterms:W3CDTF">2026-04-02T21:05:00Z</dcterms:created>
  <dcterms:modified xsi:type="dcterms:W3CDTF">2026-04-02T21:05:00Z</dcterms:modified>
</cp:coreProperties>
</file>