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000000"/>
          <w:sz w:val="36"/>
          <w:szCs w:val="36"/>
          <w:rFonts w:ascii="Calibri" w:eastAsia="微軟正黑體" w:hAnsi="Calibri"/>
        </w:rPr>
        <w:t xml:space="preserve">保密合約書</w:t>
      </w:r>
    </w:p>
    <w:p/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本保密合約書（下稱「本合約」）由示範軟體股份有限公司（下稱「甲方」）與 {{counterparty_name}}（統一編號：{{counterparty_tax_id}}，下稱「乙方」）為進行 {{purpose}}（下稱「本目的」）之合作，就機密資訊之揭露與保護事宜，於 {{effective_date}} 共同締結，雙方同意條款如下：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第一條 機密資訊之定義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合約所稱機密資訊，指甲方因本目的所揭露、具潛在商業價值之一切資訊，包括但不限於財務資訊、營運計畫、產品規格、技術文件、研發資料、軟體程式、客戶名單、供應商名單及行銷策略。雙方特別約定之機密資訊範圍如下：{{confidential_scope}}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第二條 除外情形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下列資訊不屬於機密資訊：(一) 揭露時已為乙方合法持有者；(二) 非因乙方之過失而已公開者；(三) 乙方於揭露前即已獨立開發且能舉證者；(四) 乙方自無保密義務之第三人合法取得且能舉證者；(五) 經甲方事前書面同意揭露者；(六) 依法令或法院、政府機關之命令而須揭露者。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第三條 保密義務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乙方（即 {{counterparty_name}}）非經甲方事前書面同意，不得將機密資訊使用於本目的以外之用途，且僅得揭露予因本目的確有知悉必要之受僱人或代理人，並應確保其等遵守與本合約相同之保密義務。乙方應以善良管理人之注意義務保護機密資訊；如知悉機密資訊有遭洩漏之虞，應立即通知甲方並採取必要之補救措施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第四條 合約期間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本合約自生效日起算一年。本合約屆滿或終止後，乙方就已受領之機密資訊仍應負保密義務五年。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第五條 違約責任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乙方違反本合約約定者，應賠償甲方因此所受之一切損害，包括但不限於律師費、訴訟費及因第三人請求所生之衍生費用。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第六條 準據法與管轄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本合約以中華民國法律為準據法。因本合約所生之爭議，雙方同意以臺灣臺北地方法院為第一審管轄法院。</w:t>
      </w:r>
    </w:p>
    <w:p/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立合約書人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甲方：示範軟體股份有限公司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乙方：{{counterparty_name}}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統一編號：{{counterparty_tax_id}}</w:t>
      </w:r>
    </w:p>
    <w:p/>
    <w:p>
      <w:pPr>
        <w:spacing w:after="120" w:line="320"/>
        <w:jc w:val="right"/>
      </w:pPr>
      <w:r>
        <w:rPr>
          <w:sz w:val="24"/>
          <w:szCs w:val="24"/>
          <w:rFonts w:ascii="Calibri" w:eastAsia="微軟正黑體" w:hAnsi="Calibri"/>
        </w:rPr>
        <w:t xml:space="preserve">中華民國 {{effective_date}}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保密合約（NDA）</dc:title>
  <dc:creator>clm-blank-fill-demo</dc:creator>
  <cp:lastModifiedBy>Un-named</cp:lastModifiedBy>
  <cp:revision>1</cp:revision>
  <dcterms:created xsi:type="dcterms:W3CDTF">2026-07-12T04:14:23.603Z</dcterms:created>
  <dcterms:modified xsi:type="dcterms:W3CDTF">2026-07-12T04:14:23.606Z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