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969BF" w14:textId="77777777" w:rsidR="004721EC" w:rsidRDefault="00000000">
      <w:pPr>
        <w:pStyle w:val="Heading1"/>
      </w:pPr>
      <w:r>
        <w:t>Decision Problem</w:t>
      </w:r>
    </w:p>
    <w:p w14:paraId="4BEAB501" w14:textId="77777777" w:rsidR="004721EC" w:rsidRDefault="00000000">
      <w:pPr>
        <w:pStyle w:val="Heading2"/>
      </w:pPr>
      <w:r>
        <w:t>Decision problem statement</w:t>
      </w:r>
    </w:p>
    <w:p w14:paraId="2698C3FF" w14:textId="5F680ACF" w:rsidR="00F10408" w:rsidRDefault="00F10408">
      <w:pPr>
        <w:pStyle w:val="Heading2"/>
        <w:rPr>
          <w:rFonts w:asciiTheme="minorHAnsi" w:eastAsiaTheme="minorEastAsia" w:hAnsiTheme="minorHAnsi" w:cstheme="minorBidi"/>
          <w:b w:val="0"/>
          <w:bCs w:val="0"/>
          <w:color w:val="auto"/>
          <w:sz w:val="22"/>
          <w:szCs w:val="22"/>
        </w:rPr>
      </w:pPr>
      <w:r w:rsidRPr="00F10408">
        <w:rPr>
          <w:rFonts w:asciiTheme="minorHAnsi" w:eastAsiaTheme="minorEastAsia" w:hAnsiTheme="minorHAnsi" w:cstheme="minorBidi"/>
          <w:b w:val="0"/>
          <w:bCs w:val="0"/>
          <w:color w:val="auto"/>
          <w:sz w:val="22"/>
          <w:szCs w:val="22"/>
        </w:rPr>
        <w:t xml:space="preserve">The aim of the analysis </w:t>
      </w:r>
      <w:r>
        <w:rPr>
          <w:rFonts w:asciiTheme="minorHAnsi" w:eastAsiaTheme="minorEastAsia" w:hAnsiTheme="minorHAnsi" w:cstheme="minorBidi"/>
          <w:b w:val="0"/>
          <w:bCs w:val="0"/>
          <w:color w:val="auto"/>
          <w:sz w:val="22"/>
          <w:szCs w:val="22"/>
        </w:rPr>
        <w:t>i</w:t>
      </w:r>
      <w:r w:rsidRPr="00F10408">
        <w:rPr>
          <w:rFonts w:asciiTheme="minorHAnsi" w:eastAsiaTheme="minorEastAsia" w:hAnsiTheme="minorHAnsi" w:cstheme="minorBidi"/>
          <w:b w:val="0"/>
          <w:bCs w:val="0"/>
          <w:color w:val="auto"/>
          <w:sz w:val="22"/>
          <w:szCs w:val="22"/>
        </w:rPr>
        <w:t>s to investigate whether VBT</w:t>
      </w:r>
      <w:r>
        <w:rPr>
          <w:rFonts w:asciiTheme="minorHAnsi" w:eastAsiaTheme="minorEastAsia" w:hAnsiTheme="minorHAnsi" w:cstheme="minorBidi"/>
          <w:b w:val="0"/>
          <w:bCs w:val="0"/>
          <w:color w:val="auto"/>
          <w:sz w:val="22"/>
          <w:szCs w:val="22"/>
        </w:rPr>
        <w:t xml:space="preserve"> (anterior vertebral body tethering)</w:t>
      </w:r>
      <w:r w:rsidRPr="00F10408">
        <w:rPr>
          <w:rFonts w:asciiTheme="minorHAnsi" w:eastAsiaTheme="minorEastAsia" w:hAnsiTheme="minorHAnsi" w:cstheme="minorBidi"/>
          <w:b w:val="0"/>
          <w:bCs w:val="0"/>
          <w:color w:val="auto"/>
          <w:sz w:val="22"/>
          <w:szCs w:val="22"/>
        </w:rPr>
        <w:t xml:space="preserve"> is cost-effective as a first-choice surgical treatment option for pediatric patients with moderate to severe </w:t>
      </w:r>
      <w:r>
        <w:rPr>
          <w:rFonts w:asciiTheme="minorHAnsi" w:eastAsiaTheme="minorEastAsia" w:hAnsiTheme="minorHAnsi" w:cstheme="minorBidi"/>
          <w:b w:val="0"/>
          <w:bCs w:val="0"/>
          <w:color w:val="auto"/>
          <w:sz w:val="22"/>
          <w:szCs w:val="22"/>
        </w:rPr>
        <w:t xml:space="preserve">idiopathic </w:t>
      </w:r>
      <w:proofErr w:type="spellStart"/>
      <w:r>
        <w:rPr>
          <w:rFonts w:asciiTheme="minorHAnsi" w:eastAsiaTheme="minorEastAsia" w:hAnsiTheme="minorHAnsi" w:cstheme="minorBidi"/>
          <w:b w:val="0"/>
          <w:bCs w:val="0"/>
          <w:color w:val="auto"/>
          <w:sz w:val="22"/>
          <w:szCs w:val="22"/>
        </w:rPr>
        <w:t>scoiliosis</w:t>
      </w:r>
      <w:proofErr w:type="spellEnd"/>
      <w:r w:rsidRPr="00F10408">
        <w:rPr>
          <w:rFonts w:asciiTheme="minorHAnsi" w:eastAsiaTheme="minorEastAsia" w:hAnsiTheme="minorHAnsi" w:cstheme="minorBidi"/>
          <w:b w:val="0"/>
          <w:bCs w:val="0"/>
          <w:color w:val="auto"/>
          <w:sz w:val="22"/>
          <w:szCs w:val="22"/>
        </w:rPr>
        <w:t xml:space="preserve"> who have failed nonoperative management, from a US perspective. </w:t>
      </w:r>
      <w:r>
        <w:rPr>
          <w:rFonts w:asciiTheme="minorHAnsi" w:eastAsiaTheme="minorEastAsia" w:hAnsiTheme="minorHAnsi" w:cstheme="minorBidi"/>
          <w:b w:val="0"/>
          <w:bCs w:val="0"/>
          <w:color w:val="auto"/>
          <w:sz w:val="22"/>
          <w:szCs w:val="22"/>
        </w:rPr>
        <w:t xml:space="preserve">The analysis should compare </w:t>
      </w:r>
      <w:r w:rsidRPr="00F10408">
        <w:rPr>
          <w:rFonts w:asciiTheme="minorHAnsi" w:eastAsiaTheme="minorEastAsia" w:hAnsiTheme="minorHAnsi" w:cstheme="minorBidi"/>
          <w:b w:val="0"/>
          <w:bCs w:val="0"/>
          <w:color w:val="auto"/>
          <w:sz w:val="22"/>
          <w:szCs w:val="22"/>
        </w:rPr>
        <w:t>VBT to spinal fusion from the perspective of the US integrated healthcare delivery system (IDS).</w:t>
      </w:r>
    </w:p>
    <w:p w14:paraId="4AC2390B" w14:textId="31E48395" w:rsidR="004721EC" w:rsidRDefault="00000000">
      <w:pPr>
        <w:pStyle w:val="Heading2"/>
      </w:pPr>
      <w:r>
        <w:t>Time horizon, cycle length, and discounting</w:t>
      </w:r>
    </w:p>
    <w:p w14:paraId="18134A44" w14:textId="6D0F7731" w:rsidR="004721EC" w:rsidRDefault="00F10408">
      <w:r>
        <w:t>15-year time-horizon, 3-month cycle length. Annual discounting of costs and effects of 3%.</w:t>
      </w:r>
    </w:p>
    <w:p w14:paraId="3714E26D" w14:textId="77777777" w:rsidR="004721EC" w:rsidRDefault="00000000">
      <w:pPr>
        <w:pStyle w:val="Heading2"/>
      </w:pPr>
      <w:r>
        <w:t>Treatment strategies</w:t>
      </w:r>
    </w:p>
    <w:p w14:paraId="373F53A1" w14:textId="44339DEB" w:rsidR="004721EC" w:rsidRDefault="00114080">
      <w:r>
        <w:t>Intervention: VBT, comparator: spinal fusion.</w:t>
      </w:r>
    </w:p>
    <w:p w14:paraId="13780DC6" w14:textId="77777777" w:rsidR="004721EC" w:rsidRDefault="00000000">
      <w:pPr>
        <w:pStyle w:val="Heading2"/>
      </w:pPr>
      <w:r>
        <w:t>Health states</w:t>
      </w:r>
    </w:p>
    <w:p w14:paraId="7FB526F0" w14:textId="4783BFFC" w:rsidR="004721EC" w:rsidRDefault="00F10408">
      <w:r>
        <w:t>Patients enter the model in the spinal fusion or VBT index procedure health state.</w:t>
      </w:r>
      <w:r w:rsidR="00F45E82">
        <w:t xml:space="preserve"> Devise health states based on the transitions described. </w:t>
      </w:r>
    </w:p>
    <w:p w14:paraId="63A3C65D" w14:textId="77777777" w:rsidR="004721EC" w:rsidRDefault="00000000">
      <w:pPr>
        <w:pStyle w:val="Heading2"/>
      </w:pPr>
      <w:r>
        <w:t>Transition probabilities</w:t>
      </w:r>
    </w:p>
    <w:p w14:paraId="1CFDBD52" w14:textId="3A2A41B5" w:rsidR="004721EC" w:rsidRDefault="00F10408">
      <w:r>
        <w:t>Patients enter the model in the index spinal fusion or VBT index procedure health state</w:t>
      </w:r>
      <w:r w:rsidR="00F45E82">
        <w:t xml:space="preserve"> depending on treatment arm</w:t>
      </w:r>
      <w:r>
        <w:t xml:space="preserve">. From this state, patients transition to the postoperative health states. The postoperative VBT health state represents patients who have had an index VBT operation. In the postoperative VBT health state patients who received VBT can experience VBT revision or an index fusion procedure. Once a patient has experienced an index fusion procedure they move to the postoperative index fusion health state. From here, they may experience up to two total revisions </w:t>
      </w:r>
      <w:r w:rsidR="00F45E82">
        <w:t xml:space="preserve">(modelled by two further fusion revision health states, with specific post operative states following these). If a patient in the postoperative state for the second fusion revision requires a further revision, they move to the absorbing ineligible fusion state. </w:t>
      </w:r>
    </w:p>
    <w:p w14:paraId="4D54BCF8" w14:textId="77777777" w:rsidR="004721EC" w:rsidRDefault="00000000">
      <w:pPr>
        <w:pStyle w:val="Heading1"/>
      </w:pPr>
      <w:r>
        <w:t>Costs</w:t>
      </w:r>
    </w:p>
    <w:p w14:paraId="5FB65BC0" w14:textId="68137C10" w:rsidR="00A67C4A" w:rsidRDefault="00F45E82" w:rsidP="00A67C4A">
      <w:pPr>
        <w:pStyle w:val="Heading2"/>
      </w:pPr>
      <w:r>
        <w:t>Index procedure costs</w:t>
      </w:r>
    </w:p>
    <w:p w14:paraId="55996106" w14:textId="63A4935B" w:rsidR="00F45E82" w:rsidRDefault="00F45E82" w:rsidP="00F45E82">
      <w:r>
        <w:t>See provided data.</w:t>
      </w:r>
      <w:r w:rsidR="00D827DF">
        <w:t xml:space="preserve"> </w:t>
      </w:r>
      <w:r w:rsidR="00476230">
        <w:t xml:space="preserve">For first index procedures, should be upon entry to the model. </w:t>
      </w:r>
    </w:p>
    <w:p w14:paraId="0FE08636" w14:textId="7DB27029" w:rsidR="00D827DF" w:rsidRDefault="00D827DF" w:rsidP="00D827DF">
      <w:pPr>
        <w:pStyle w:val="Heading2"/>
      </w:pPr>
      <w:r>
        <w:t>Revision procedure costs</w:t>
      </w:r>
    </w:p>
    <w:p w14:paraId="4707C959" w14:textId="14108FD3" w:rsidR="00D827DF" w:rsidRPr="00D827DF" w:rsidRDefault="00D827DF" w:rsidP="00D827DF">
      <w:r>
        <w:t>See provided data</w:t>
      </w:r>
    </w:p>
    <w:p w14:paraId="55ABD83B" w14:textId="77777777" w:rsidR="00D827DF" w:rsidRDefault="00D827DF" w:rsidP="00F45E82"/>
    <w:p w14:paraId="754FAC57" w14:textId="77777777" w:rsidR="00D827DF" w:rsidRPr="00F45E82" w:rsidRDefault="00D827DF" w:rsidP="00F45E82"/>
    <w:p w14:paraId="74345117" w14:textId="321CBC19" w:rsidR="004721EC" w:rsidRDefault="004721EC"/>
    <w:p w14:paraId="1617E27C" w14:textId="77777777" w:rsidR="004721EC" w:rsidRDefault="00000000">
      <w:pPr>
        <w:pStyle w:val="Heading1"/>
      </w:pPr>
      <w:r>
        <w:t>Utilities</w:t>
      </w:r>
    </w:p>
    <w:p w14:paraId="2D585D94" w14:textId="77777777" w:rsidR="004721EC" w:rsidRDefault="00000000">
      <w:pPr>
        <w:pStyle w:val="Heading2"/>
      </w:pPr>
      <w:r>
        <w:t>Health state utilities</w:t>
      </w:r>
    </w:p>
    <w:p w14:paraId="488AC070" w14:textId="339C143F" w:rsidR="00F45E82" w:rsidRPr="00F45E82" w:rsidRDefault="00F45E82" w:rsidP="00F45E82">
      <w:r>
        <w:t>See provided data.</w:t>
      </w:r>
    </w:p>
    <w:p w14:paraId="68A52AD5" w14:textId="7BE4646C" w:rsidR="004721EC" w:rsidRDefault="004721EC"/>
    <w:sectPr w:rsidR="004721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307829">
    <w:abstractNumId w:val="8"/>
  </w:num>
  <w:num w:numId="2" w16cid:durableId="1359311431">
    <w:abstractNumId w:val="6"/>
  </w:num>
  <w:num w:numId="3" w16cid:durableId="1146431797">
    <w:abstractNumId w:val="5"/>
  </w:num>
  <w:num w:numId="4" w16cid:durableId="150760560">
    <w:abstractNumId w:val="4"/>
  </w:num>
  <w:num w:numId="5" w16cid:durableId="313460378">
    <w:abstractNumId w:val="7"/>
  </w:num>
  <w:num w:numId="6" w16cid:durableId="1551921413">
    <w:abstractNumId w:val="3"/>
  </w:num>
  <w:num w:numId="7" w16cid:durableId="1286427482">
    <w:abstractNumId w:val="2"/>
  </w:num>
  <w:num w:numId="8" w16cid:durableId="1062945792">
    <w:abstractNumId w:val="1"/>
  </w:num>
  <w:num w:numId="9" w16cid:durableId="21320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80"/>
    <w:rsid w:val="00136ABF"/>
    <w:rsid w:val="0015074B"/>
    <w:rsid w:val="001A44A7"/>
    <w:rsid w:val="0029639D"/>
    <w:rsid w:val="00326F90"/>
    <w:rsid w:val="003B6AF0"/>
    <w:rsid w:val="00465C6E"/>
    <w:rsid w:val="004721EC"/>
    <w:rsid w:val="00476230"/>
    <w:rsid w:val="0064719B"/>
    <w:rsid w:val="0068280D"/>
    <w:rsid w:val="006F47EF"/>
    <w:rsid w:val="008F1CB3"/>
    <w:rsid w:val="00A67C4A"/>
    <w:rsid w:val="00A753F8"/>
    <w:rsid w:val="00AA1D8D"/>
    <w:rsid w:val="00B47730"/>
    <w:rsid w:val="00B77899"/>
    <w:rsid w:val="00BB12F7"/>
    <w:rsid w:val="00CB0664"/>
    <w:rsid w:val="00D827DF"/>
    <w:rsid w:val="00F02B6C"/>
    <w:rsid w:val="00F10408"/>
    <w:rsid w:val="00F45E82"/>
    <w:rsid w:val="00F52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5FD24"/>
  <w14:defaultImageDpi w14:val="300"/>
  <w15:docId w15:val="{B8041CB4-251D-8D48-9D76-287A5CE2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43479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.~WRD0529</Template>
  <TotalTime>13</TotalTime>
  <Pages>2</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Rawlinson</cp:lastModifiedBy>
  <cp:revision>7</cp:revision>
  <dcterms:created xsi:type="dcterms:W3CDTF">2025-07-02T13:34:00Z</dcterms:created>
  <dcterms:modified xsi:type="dcterms:W3CDTF">2025-07-02T14:43:00Z</dcterms:modified>
  <cp:category/>
</cp:coreProperties>
</file>