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E66D" w14:textId="473F857B" w:rsidR="001013DF" w:rsidRPr="00FD3CD0" w:rsidRDefault="00FD3CD0">
      <w:pPr>
        <w:rPr>
          <w:rFonts w:ascii="Arial" w:hAnsi="Arial" w:cs="Arial"/>
          <w:sz w:val="40"/>
          <w:szCs w:val="40"/>
        </w:rPr>
      </w:pPr>
      <w:r w:rsidRPr="00FD3CD0">
        <w:rPr>
          <w:rFonts w:ascii="Arial" w:hAnsi="Arial" w:cs="Arial"/>
          <w:sz w:val="40"/>
          <w:szCs w:val="40"/>
        </w:rPr>
        <w:t>Evaluation Dimensions and Subcategories for the MGCDS Domain</w:t>
      </w:r>
    </w:p>
    <w:p w14:paraId="6AF094F3" w14:textId="2A8F233E" w:rsidR="00FD3CD0" w:rsidRDefault="00FD3CD0"/>
    <w:tbl>
      <w:tblPr>
        <w:tblW w:w="10100" w:type="dxa"/>
        <w:tblInd w:w="-45" w:type="dxa"/>
        <w:tblLayout w:type="fixed"/>
        <w:tblCellMar>
          <w:top w:w="113" w:type="dxa"/>
          <w:left w:w="113" w:type="dxa"/>
          <w:bottom w:w="113" w:type="dxa"/>
          <w:right w:w="113" w:type="dxa"/>
        </w:tblCellMar>
        <w:tblLook w:val="0400" w:firstRow="0" w:lastRow="0" w:firstColumn="0" w:lastColumn="0" w:noHBand="0" w:noVBand="1"/>
      </w:tblPr>
      <w:tblGrid>
        <w:gridCol w:w="1521"/>
        <w:gridCol w:w="8579"/>
      </w:tblGrid>
      <w:tr w:rsidR="006C5FB1" w14:paraId="40BB1A45" w14:textId="7F385FC0" w:rsidTr="00AD1213">
        <w:trPr>
          <w:trHeight w:val="315"/>
        </w:trPr>
        <w:tc>
          <w:tcPr>
            <w:tcW w:w="1521" w:type="dxa"/>
            <w:tcBorders>
              <w:top w:val="single" w:sz="8" w:space="0" w:color="000000"/>
              <w:left w:val="single" w:sz="8" w:space="0" w:color="000000"/>
              <w:bottom w:val="single" w:sz="24" w:space="0" w:color="000000"/>
              <w:right w:val="single" w:sz="8" w:space="0" w:color="000000"/>
            </w:tcBorders>
            <w:tcMar>
              <w:top w:w="30" w:type="dxa"/>
              <w:left w:w="45" w:type="dxa"/>
              <w:bottom w:w="30" w:type="dxa"/>
              <w:right w:w="45" w:type="dxa"/>
            </w:tcMar>
            <w:vAlign w:val="center"/>
          </w:tcPr>
          <w:p w14:paraId="738B43F6" w14:textId="64EBA41A" w:rsidR="006C5FB1" w:rsidRDefault="006C5FB1" w:rsidP="004142A8">
            <w:pPr>
              <w:rPr>
                <w:rFonts w:ascii="Arial" w:eastAsia="Arial" w:hAnsi="Arial" w:cs="Arial"/>
                <w:sz w:val="18"/>
                <w:szCs w:val="18"/>
              </w:rPr>
            </w:pPr>
            <w:r>
              <w:rPr>
                <w:rFonts w:ascii="Arial" w:eastAsia="Arial" w:hAnsi="Arial" w:cs="Arial"/>
                <w:b/>
                <w:sz w:val="20"/>
                <w:szCs w:val="20"/>
              </w:rPr>
              <w:t>Dimension and Categories</w:t>
            </w:r>
          </w:p>
        </w:tc>
        <w:tc>
          <w:tcPr>
            <w:tcW w:w="8579" w:type="dxa"/>
            <w:tcBorders>
              <w:top w:val="single" w:sz="8" w:space="0" w:color="000000"/>
              <w:left w:val="single" w:sz="8" w:space="0" w:color="000000"/>
              <w:bottom w:val="single" w:sz="24" w:space="0" w:color="000000"/>
              <w:right w:val="single" w:sz="8" w:space="0" w:color="000000"/>
            </w:tcBorders>
            <w:vAlign w:val="center"/>
          </w:tcPr>
          <w:p w14:paraId="30BE3F96" w14:textId="6D6E75F4" w:rsidR="006C5FB1" w:rsidRDefault="00566B4E" w:rsidP="00566B4E">
            <w:pPr>
              <w:rPr>
                <w:rFonts w:ascii="Arial" w:eastAsia="Arial" w:hAnsi="Arial" w:cs="Arial"/>
                <w:b/>
                <w:sz w:val="20"/>
                <w:szCs w:val="20"/>
              </w:rPr>
            </w:pPr>
            <w:r>
              <w:rPr>
                <w:rFonts w:ascii="Arial" w:eastAsia="Arial" w:hAnsi="Arial" w:cs="Arial"/>
                <w:b/>
                <w:sz w:val="20"/>
                <w:szCs w:val="20"/>
              </w:rPr>
              <w:t>Explanation</w:t>
            </w:r>
          </w:p>
        </w:tc>
      </w:tr>
      <w:tr w:rsidR="00BF2492" w14:paraId="226BA44D" w14:textId="77777777" w:rsidTr="00AD1213">
        <w:trPr>
          <w:trHeight w:val="315"/>
        </w:trPr>
        <w:tc>
          <w:tcPr>
            <w:tcW w:w="10100" w:type="dxa"/>
            <w:gridSpan w:val="2"/>
            <w:tcBorders>
              <w:top w:val="single" w:sz="24" w:space="0" w:color="000000"/>
              <w:left w:val="single" w:sz="8" w:space="0" w:color="000000"/>
              <w:bottom w:val="single" w:sz="6" w:space="0" w:color="CCCCCC"/>
              <w:right w:val="single" w:sz="8" w:space="0" w:color="000000"/>
            </w:tcBorders>
            <w:tcMar>
              <w:top w:w="30" w:type="dxa"/>
              <w:left w:w="45" w:type="dxa"/>
              <w:bottom w:w="30" w:type="dxa"/>
              <w:right w:w="45" w:type="dxa"/>
            </w:tcMar>
            <w:vAlign w:val="center"/>
          </w:tcPr>
          <w:p w14:paraId="4B8A15F0" w14:textId="77777777" w:rsidR="00BF2492" w:rsidRPr="00A679B3" w:rsidRDefault="00BF2492" w:rsidP="00D05569">
            <w:pPr>
              <w:tabs>
                <w:tab w:val="left" w:pos="128"/>
              </w:tabs>
              <w:spacing w:before="120"/>
              <w:ind w:left="128"/>
              <w:rPr>
                <w:rFonts w:ascii="Arial" w:eastAsia="Arial" w:hAnsi="Arial" w:cs="Arial"/>
                <w:bCs/>
                <w:sz w:val="21"/>
                <w:szCs w:val="21"/>
              </w:rPr>
            </w:pPr>
            <w:r w:rsidRPr="00A679B3">
              <w:rPr>
                <w:rFonts w:ascii="Arial" w:eastAsia="Arial" w:hAnsi="Arial" w:cs="Arial"/>
                <w:bCs/>
                <w:i/>
                <w:iCs/>
                <w:sz w:val="21"/>
                <w:szCs w:val="21"/>
              </w:rPr>
              <w:t xml:space="preserve">Automated detection of adverse interactions between clinical guidelines </w:t>
            </w:r>
            <w:r w:rsidRPr="00A679B3">
              <w:rPr>
                <w:rFonts w:ascii="Arial" w:eastAsia="Arial" w:hAnsi="Arial" w:cs="Arial"/>
                <w:bCs/>
                <w:sz w:val="21"/>
                <w:szCs w:val="21"/>
              </w:rPr>
              <w:t xml:space="preserve">(DET). </w:t>
            </w:r>
          </w:p>
          <w:p w14:paraId="05658352" w14:textId="0B7863F2" w:rsidR="00BF2492" w:rsidRPr="00E0374B" w:rsidRDefault="00BF2492" w:rsidP="00D05569">
            <w:pPr>
              <w:tabs>
                <w:tab w:val="left" w:pos="128"/>
              </w:tabs>
              <w:spacing w:before="120" w:after="120"/>
              <w:ind w:left="128"/>
              <w:rPr>
                <w:rFonts w:ascii="Arial" w:eastAsia="Arial" w:hAnsi="Arial" w:cs="Arial"/>
                <w:sz w:val="18"/>
                <w:szCs w:val="18"/>
              </w:rPr>
            </w:pPr>
            <w:r w:rsidRPr="00302ABD">
              <w:rPr>
                <w:rFonts w:ascii="Arial" w:eastAsia="Arial" w:hAnsi="Arial" w:cs="Arial"/>
                <w:bCs/>
                <w:sz w:val="18"/>
                <w:szCs w:val="18"/>
              </w:rPr>
              <w:t>Although there are cases where clinical guidelines include multimorbidity recommendations, they typically do not state all potential conflicts and interactions. The DET dimension characterizes the automated detection of multimorbidity interactions (e.g., drug-drug, drug-condition) and conflicts (e.g., starting/stopping the same drug). Hence, it covers functional features related to detection (A1-A7).</w:t>
            </w:r>
          </w:p>
        </w:tc>
      </w:tr>
      <w:tr w:rsidR="006C5FB1" w14:paraId="1A39A77B" w14:textId="0D9A3AA2" w:rsidTr="009401A5">
        <w:trPr>
          <w:trHeight w:val="315"/>
        </w:trPr>
        <w:tc>
          <w:tcPr>
            <w:tcW w:w="1521" w:type="dxa"/>
            <w:tcBorders>
              <w:top w:val="single" w:sz="8" w:space="0" w:color="000000"/>
              <w:left w:val="single" w:sz="8" w:space="0" w:color="000000"/>
              <w:bottom w:val="single" w:sz="6" w:space="0" w:color="CCCCCC"/>
              <w:right w:val="single" w:sz="8" w:space="0" w:color="000000"/>
            </w:tcBorders>
            <w:tcMar>
              <w:top w:w="30" w:type="dxa"/>
              <w:left w:w="45" w:type="dxa"/>
              <w:bottom w:w="30" w:type="dxa"/>
              <w:right w:w="45" w:type="dxa"/>
            </w:tcMar>
            <w:vAlign w:val="center"/>
          </w:tcPr>
          <w:p w14:paraId="6D16AEB8" w14:textId="77777777" w:rsidR="006C5FB1" w:rsidRDefault="006C5FB1" w:rsidP="006C5FB1">
            <w:pPr>
              <w:rPr>
                <w:rFonts w:ascii="Arial" w:eastAsia="Arial" w:hAnsi="Arial" w:cs="Arial"/>
                <w:sz w:val="18"/>
                <w:szCs w:val="18"/>
              </w:rPr>
            </w:pPr>
            <w:r>
              <w:rPr>
                <w:rFonts w:ascii="Arial" w:eastAsia="Arial" w:hAnsi="Arial" w:cs="Arial"/>
                <w:sz w:val="18"/>
                <w:szCs w:val="18"/>
              </w:rPr>
              <w:t>Complex reasoning over medical knowledge</w:t>
            </w:r>
          </w:p>
        </w:tc>
        <w:tc>
          <w:tcPr>
            <w:tcW w:w="8579" w:type="dxa"/>
            <w:tcBorders>
              <w:top w:val="single" w:sz="8" w:space="0" w:color="000000"/>
              <w:left w:val="single" w:sz="8" w:space="0" w:color="000000"/>
              <w:bottom w:val="single" w:sz="6" w:space="0" w:color="CCCCCC"/>
              <w:right w:val="single" w:sz="8" w:space="0" w:color="000000"/>
            </w:tcBorders>
          </w:tcPr>
          <w:p w14:paraId="70C803DC" w14:textId="63A50FBC" w:rsidR="006C5FB1" w:rsidRDefault="00E0374B" w:rsidP="006C5FB1">
            <w:pPr>
              <w:rPr>
                <w:rFonts w:ascii="Arial" w:eastAsia="Arial" w:hAnsi="Arial" w:cs="Arial"/>
                <w:sz w:val="18"/>
                <w:szCs w:val="18"/>
              </w:rPr>
            </w:pPr>
            <w:r w:rsidRPr="00E0374B">
              <w:rPr>
                <w:rFonts w:ascii="Arial" w:eastAsia="Arial" w:hAnsi="Arial" w:cs="Arial"/>
                <w:sz w:val="18"/>
                <w:szCs w:val="18"/>
              </w:rPr>
              <w:t xml:space="preserve">External (i.e., non-CPG) knowledge sources contain a wealth of knowledge about, among other things, physiological effects of treatment (e.g., anticoagulation). By annotating CIG tasks with knowledge terms, such as treatment, duration, and modifiers (e.g., increase/decrease), reasoning processes can thus detect conflicting tasks. </w:t>
            </w:r>
          </w:p>
        </w:tc>
      </w:tr>
      <w:tr w:rsidR="006C5FB1" w14:paraId="575ED426" w14:textId="4448F2CD" w:rsidTr="00AD1213">
        <w:trPr>
          <w:trHeight w:val="437"/>
        </w:trPr>
        <w:tc>
          <w:tcPr>
            <w:tcW w:w="1521" w:type="dxa"/>
            <w:tcBorders>
              <w:top w:val="single" w:sz="6" w:space="0" w:color="CCCCCC"/>
              <w:left w:val="single" w:sz="8" w:space="0" w:color="000000"/>
              <w:bottom w:val="single" w:sz="24" w:space="0" w:color="000000"/>
              <w:right w:val="single" w:sz="8" w:space="0" w:color="000000"/>
            </w:tcBorders>
            <w:tcMar>
              <w:top w:w="30" w:type="dxa"/>
              <w:left w:w="45" w:type="dxa"/>
              <w:bottom w:w="30" w:type="dxa"/>
              <w:right w:w="45" w:type="dxa"/>
            </w:tcMar>
            <w:vAlign w:val="center"/>
          </w:tcPr>
          <w:p w14:paraId="30DADD0C" w14:textId="77777777" w:rsidR="006C5FB1" w:rsidRDefault="006C5FB1" w:rsidP="006C5FB1">
            <w:pPr>
              <w:rPr>
                <w:rFonts w:ascii="Arial" w:eastAsia="Arial" w:hAnsi="Arial" w:cs="Arial"/>
                <w:sz w:val="18"/>
                <w:szCs w:val="18"/>
              </w:rPr>
            </w:pPr>
            <w:r>
              <w:rPr>
                <w:rFonts w:ascii="Arial" w:eastAsia="Arial" w:hAnsi="Arial" w:cs="Arial"/>
                <w:sz w:val="18"/>
                <w:szCs w:val="18"/>
              </w:rPr>
              <w:t>Querying data sources</w:t>
            </w:r>
          </w:p>
        </w:tc>
        <w:tc>
          <w:tcPr>
            <w:tcW w:w="8579" w:type="dxa"/>
            <w:tcBorders>
              <w:top w:val="single" w:sz="6" w:space="0" w:color="CCCCCC"/>
              <w:left w:val="single" w:sz="8" w:space="0" w:color="000000"/>
              <w:bottom w:val="single" w:sz="24" w:space="0" w:color="000000"/>
              <w:right w:val="single" w:sz="8" w:space="0" w:color="000000"/>
            </w:tcBorders>
          </w:tcPr>
          <w:p w14:paraId="3D978142" w14:textId="7EDB689C" w:rsidR="006C5FB1" w:rsidRDefault="00EE73C1" w:rsidP="006C5FB1">
            <w:pPr>
              <w:rPr>
                <w:rFonts w:ascii="Arial" w:eastAsia="Arial" w:hAnsi="Arial" w:cs="Arial"/>
                <w:sz w:val="18"/>
                <w:szCs w:val="18"/>
              </w:rPr>
            </w:pPr>
            <w:r w:rsidRPr="00EE73C1">
              <w:rPr>
                <w:rFonts w:ascii="Arial" w:eastAsia="Arial" w:hAnsi="Arial" w:cs="Arial"/>
                <w:sz w:val="18"/>
                <w:szCs w:val="18"/>
              </w:rPr>
              <w:t xml:space="preserve">External data sources such as DrugBank, DrugCentral, DDInter [41] and AEOLOUS contain validated information on drug-drug interactions (DDI) and drug-condition interactions (DCI). By annotating CIG tasks with drug and condition terms from relevant taxonomies, MGCDS methods can automatically query these sources to find DDI and DCI. </w:t>
            </w:r>
          </w:p>
        </w:tc>
      </w:tr>
      <w:tr w:rsidR="006C5FB1" w14:paraId="7AB8B062" w14:textId="77777777" w:rsidTr="00AD1213">
        <w:trPr>
          <w:trHeight w:val="315"/>
        </w:trPr>
        <w:tc>
          <w:tcPr>
            <w:tcW w:w="10100" w:type="dxa"/>
            <w:gridSpan w:val="2"/>
            <w:tcBorders>
              <w:top w:val="single" w:sz="24" w:space="0" w:color="000000"/>
              <w:left w:val="single" w:sz="8" w:space="0" w:color="000000"/>
              <w:bottom w:val="single" w:sz="8" w:space="0" w:color="000000"/>
              <w:right w:val="single" w:sz="8" w:space="0" w:color="000000"/>
            </w:tcBorders>
            <w:vAlign w:val="center"/>
          </w:tcPr>
          <w:p w14:paraId="61A24AF9" w14:textId="7696C903" w:rsidR="00DD4674" w:rsidRPr="00A679B3" w:rsidRDefault="006C5FB1" w:rsidP="00F83FB8">
            <w:pPr>
              <w:ind w:left="71"/>
              <w:rPr>
                <w:rFonts w:ascii="Arial" w:eastAsia="Arial" w:hAnsi="Arial" w:cs="Arial"/>
                <w:bCs/>
                <w:i/>
                <w:iCs/>
                <w:sz w:val="21"/>
                <w:szCs w:val="21"/>
              </w:rPr>
            </w:pPr>
            <w:r w:rsidRPr="00A679B3">
              <w:rPr>
                <w:rFonts w:ascii="Arial" w:eastAsia="Arial" w:hAnsi="Arial" w:cs="Arial"/>
                <w:bCs/>
                <w:i/>
                <w:iCs/>
                <w:sz w:val="21"/>
                <w:szCs w:val="21"/>
              </w:rPr>
              <w:t>Representation of MGCDS management strategies</w:t>
            </w:r>
            <w:r w:rsidR="00C33C1F" w:rsidRPr="00A679B3">
              <w:rPr>
                <w:rFonts w:ascii="Arial" w:eastAsia="Arial" w:hAnsi="Arial" w:cs="Arial"/>
                <w:bCs/>
                <w:sz w:val="21"/>
                <w:szCs w:val="21"/>
              </w:rPr>
              <w:t xml:space="preserve"> (STRAT)</w:t>
            </w:r>
            <w:r w:rsidR="008D43EA" w:rsidRPr="00A679B3">
              <w:rPr>
                <w:rFonts w:ascii="Arial" w:eastAsia="Arial" w:hAnsi="Arial" w:cs="Arial"/>
                <w:bCs/>
                <w:i/>
                <w:iCs/>
                <w:sz w:val="21"/>
                <w:szCs w:val="21"/>
              </w:rPr>
              <w:t>.</w:t>
            </w:r>
          </w:p>
          <w:p w14:paraId="6BFD97E2" w14:textId="107B51B5" w:rsidR="006C5FB1" w:rsidRPr="00566B4E" w:rsidRDefault="008D43EA" w:rsidP="00F83FB8">
            <w:pPr>
              <w:spacing w:before="120"/>
              <w:ind w:left="71"/>
              <w:rPr>
                <w:rFonts w:ascii="Arial" w:eastAsia="Arial" w:hAnsi="Arial" w:cs="Arial"/>
                <w:bCs/>
                <w:i/>
                <w:iCs/>
                <w:sz w:val="18"/>
                <w:szCs w:val="18"/>
              </w:rPr>
            </w:pPr>
            <w:r w:rsidRPr="008D43EA">
              <w:rPr>
                <w:rFonts w:ascii="Arial" w:eastAsia="Arial" w:hAnsi="Arial" w:cs="Arial"/>
                <w:bCs/>
                <w:sz w:val="18"/>
                <w:szCs w:val="18"/>
              </w:rPr>
              <w:t>An MGCDS method applies management strategies to detect and/or mitigate conflicts and adverse interactions for a given multimorbidity. The STRAT dimension characterizes the representation of these management strategies, and thus covers detection and mitigation features (A1-A7).</w:t>
            </w:r>
          </w:p>
        </w:tc>
      </w:tr>
      <w:tr w:rsidR="006C5FB1" w14:paraId="16236834" w14:textId="72DDD69E" w:rsidTr="009401A5">
        <w:trPr>
          <w:trHeight w:val="315"/>
        </w:trPr>
        <w:tc>
          <w:tcPr>
            <w:tcW w:w="1521" w:type="dxa"/>
            <w:tcBorders>
              <w:top w:val="single" w:sz="8" w:space="0" w:color="000000"/>
              <w:left w:val="single" w:sz="8" w:space="0" w:color="000000"/>
              <w:bottom w:val="single" w:sz="6" w:space="0" w:color="CCCCCC"/>
              <w:right w:val="single" w:sz="8" w:space="0" w:color="000000"/>
            </w:tcBorders>
            <w:tcMar>
              <w:top w:w="30" w:type="dxa"/>
              <w:left w:w="45" w:type="dxa"/>
              <w:bottom w:w="30" w:type="dxa"/>
              <w:right w:w="45" w:type="dxa"/>
            </w:tcMar>
            <w:vAlign w:val="center"/>
          </w:tcPr>
          <w:p w14:paraId="1A53A666" w14:textId="77777777" w:rsidR="006C5FB1" w:rsidRDefault="006C5FB1" w:rsidP="006C5FB1">
            <w:pPr>
              <w:rPr>
                <w:rFonts w:ascii="Arial" w:eastAsia="Arial" w:hAnsi="Arial" w:cs="Arial"/>
                <w:sz w:val="18"/>
                <w:szCs w:val="18"/>
              </w:rPr>
            </w:pPr>
            <w:r>
              <w:rPr>
                <w:rFonts w:ascii="Arial" w:eastAsia="Arial" w:hAnsi="Arial" w:cs="Arial"/>
                <w:sz w:val="18"/>
                <w:szCs w:val="18"/>
              </w:rPr>
              <w:t>Adaptation constructs</w:t>
            </w:r>
          </w:p>
        </w:tc>
        <w:tc>
          <w:tcPr>
            <w:tcW w:w="8579" w:type="dxa"/>
            <w:tcBorders>
              <w:top w:val="single" w:sz="8" w:space="0" w:color="000000"/>
              <w:left w:val="single" w:sz="8" w:space="0" w:color="000000"/>
              <w:bottom w:val="single" w:sz="6" w:space="0" w:color="CCCCCC"/>
              <w:right w:val="single" w:sz="8" w:space="0" w:color="000000"/>
            </w:tcBorders>
          </w:tcPr>
          <w:p w14:paraId="437F623C" w14:textId="5475367D" w:rsidR="006C5FB1" w:rsidRDefault="00252FF2" w:rsidP="006C5FB1">
            <w:pPr>
              <w:rPr>
                <w:rFonts w:ascii="Arial" w:eastAsia="Arial" w:hAnsi="Arial" w:cs="Arial"/>
                <w:sz w:val="18"/>
                <w:szCs w:val="18"/>
              </w:rPr>
            </w:pPr>
            <w:r w:rsidRPr="00252FF2">
              <w:rPr>
                <w:rFonts w:ascii="Arial" w:eastAsia="Arial" w:hAnsi="Arial" w:cs="Arial"/>
                <w:sz w:val="18"/>
                <w:szCs w:val="18"/>
              </w:rPr>
              <w:t>Adaptation constructs represent generic strategies to manage common multimorbidity issues (e.g., overlapping conflicting tasks) by adapting the underlying single-disease CIG. A construct includes an (a) detection part, identifying the type of conflict, and (b) mitigation part, which adapts the CIG in such a way to avoid the issue. A clinician manually instantiates a construct to manage the particular issue for a given multimorbidity. A separate engine is needed to execute the instantiated constructs.</w:t>
            </w:r>
          </w:p>
        </w:tc>
      </w:tr>
      <w:tr w:rsidR="006C5FB1" w14:paraId="1DF4465C" w14:textId="08E874F0" w:rsidTr="009401A5">
        <w:trPr>
          <w:trHeight w:val="315"/>
        </w:trPr>
        <w:tc>
          <w:tcPr>
            <w:tcW w:w="1521" w:type="dxa"/>
            <w:tcBorders>
              <w:top w:val="single" w:sz="6" w:space="0" w:color="CCCCCC"/>
              <w:left w:val="single" w:sz="8" w:space="0" w:color="000000"/>
              <w:bottom w:val="single" w:sz="6" w:space="0" w:color="CCCCCC"/>
              <w:right w:val="single" w:sz="8" w:space="0" w:color="000000"/>
            </w:tcBorders>
            <w:tcMar>
              <w:top w:w="30" w:type="dxa"/>
              <w:left w:w="45" w:type="dxa"/>
              <w:bottom w:w="30" w:type="dxa"/>
              <w:right w:w="45" w:type="dxa"/>
            </w:tcMar>
            <w:vAlign w:val="center"/>
          </w:tcPr>
          <w:p w14:paraId="676161DD" w14:textId="77777777" w:rsidR="006C5FB1" w:rsidRDefault="006C5FB1" w:rsidP="006C5FB1">
            <w:pPr>
              <w:rPr>
                <w:rFonts w:ascii="Arial" w:eastAsia="Arial" w:hAnsi="Arial" w:cs="Arial"/>
                <w:sz w:val="18"/>
                <w:szCs w:val="18"/>
              </w:rPr>
            </w:pPr>
            <w:r>
              <w:rPr>
                <w:rFonts w:ascii="Arial" w:eastAsia="Arial" w:hAnsi="Arial" w:cs="Arial"/>
                <w:sz w:val="18"/>
                <w:szCs w:val="18"/>
              </w:rPr>
              <w:t>Pre-defined algorithms</w:t>
            </w:r>
          </w:p>
        </w:tc>
        <w:tc>
          <w:tcPr>
            <w:tcW w:w="8579" w:type="dxa"/>
            <w:tcBorders>
              <w:top w:val="single" w:sz="6" w:space="0" w:color="CCCCCC"/>
              <w:left w:val="single" w:sz="8" w:space="0" w:color="000000"/>
              <w:bottom w:val="single" w:sz="6" w:space="0" w:color="CCCCCC"/>
              <w:right w:val="single" w:sz="8" w:space="0" w:color="000000"/>
            </w:tcBorders>
          </w:tcPr>
          <w:p w14:paraId="58DAC632" w14:textId="621D5C44" w:rsidR="006C5FB1" w:rsidRDefault="004B7A26" w:rsidP="006C5FB1">
            <w:pPr>
              <w:rPr>
                <w:rFonts w:ascii="Arial" w:eastAsia="Arial" w:hAnsi="Arial" w:cs="Arial"/>
                <w:sz w:val="18"/>
                <w:szCs w:val="18"/>
              </w:rPr>
            </w:pPr>
            <w:r w:rsidRPr="004B7A26">
              <w:rPr>
                <w:rFonts w:ascii="Arial" w:eastAsia="Arial" w:hAnsi="Arial" w:cs="Arial"/>
                <w:sz w:val="18"/>
                <w:szCs w:val="18"/>
              </w:rPr>
              <w:t>These custom algorithms implement pre-defined, generic detection and mitigation strategies to manage multimorbidity issues. In contrast to adaptation constructs, the predefined custom algorithms do not require manual instantiation.</w:t>
            </w:r>
          </w:p>
        </w:tc>
      </w:tr>
      <w:tr w:rsidR="006C5FB1" w14:paraId="7BEE05D9" w14:textId="5BF2500B" w:rsidTr="00AD1213">
        <w:trPr>
          <w:trHeight w:val="315"/>
        </w:trPr>
        <w:tc>
          <w:tcPr>
            <w:tcW w:w="1521" w:type="dxa"/>
            <w:tcBorders>
              <w:top w:val="single" w:sz="6" w:space="0" w:color="CCCCCC"/>
              <w:left w:val="single" w:sz="8" w:space="0" w:color="000000"/>
              <w:bottom w:val="single" w:sz="24" w:space="0" w:color="000000"/>
              <w:right w:val="single" w:sz="8" w:space="0" w:color="000000"/>
            </w:tcBorders>
            <w:tcMar>
              <w:top w:w="30" w:type="dxa"/>
              <w:left w:w="45" w:type="dxa"/>
              <w:bottom w:w="30" w:type="dxa"/>
              <w:right w:w="45" w:type="dxa"/>
            </w:tcMar>
            <w:vAlign w:val="center"/>
          </w:tcPr>
          <w:p w14:paraId="3F3C008D" w14:textId="77777777" w:rsidR="006C5FB1" w:rsidRDefault="006C5FB1" w:rsidP="006C5FB1">
            <w:pPr>
              <w:rPr>
                <w:rFonts w:ascii="Arial" w:eastAsia="Arial" w:hAnsi="Arial" w:cs="Arial"/>
                <w:sz w:val="18"/>
                <w:szCs w:val="18"/>
              </w:rPr>
            </w:pPr>
            <w:r>
              <w:rPr>
                <w:rFonts w:ascii="Arial" w:eastAsia="Arial" w:hAnsi="Arial" w:cs="Arial"/>
                <w:sz w:val="18"/>
                <w:szCs w:val="18"/>
              </w:rPr>
              <w:t>CIG language modules</w:t>
            </w:r>
          </w:p>
        </w:tc>
        <w:tc>
          <w:tcPr>
            <w:tcW w:w="8579" w:type="dxa"/>
            <w:tcBorders>
              <w:top w:val="single" w:sz="6" w:space="0" w:color="CCCCCC"/>
              <w:left w:val="single" w:sz="8" w:space="0" w:color="000000"/>
              <w:bottom w:val="single" w:sz="24" w:space="0" w:color="000000"/>
              <w:right w:val="single" w:sz="8" w:space="0" w:color="000000"/>
            </w:tcBorders>
          </w:tcPr>
          <w:p w14:paraId="79F594B4" w14:textId="6D224EFA" w:rsidR="006C5FB1" w:rsidRDefault="00244FE6" w:rsidP="006C5FB1">
            <w:pPr>
              <w:rPr>
                <w:rFonts w:ascii="Arial" w:eastAsia="Arial" w:hAnsi="Arial" w:cs="Arial"/>
                <w:sz w:val="18"/>
                <w:szCs w:val="18"/>
              </w:rPr>
            </w:pPr>
            <w:r w:rsidRPr="00244FE6">
              <w:rPr>
                <w:rFonts w:ascii="Arial" w:eastAsia="Arial" w:hAnsi="Arial" w:cs="Arial"/>
                <w:sz w:val="18"/>
                <w:szCs w:val="18"/>
              </w:rPr>
              <w:t>A set of separate modules, written using the CIG formalism itself, is manually authored to manage specific multimorbidity conflicts.</w:t>
            </w:r>
          </w:p>
        </w:tc>
      </w:tr>
      <w:tr w:rsidR="006C5FB1" w14:paraId="7E950CD7" w14:textId="77777777" w:rsidTr="00AD1213">
        <w:trPr>
          <w:trHeight w:val="315"/>
        </w:trPr>
        <w:tc>
          <w:tcPr>
            <w:tcW w:w="10100" w:type="dxa"/>
            <w:gridSpan w:val="2"/>
            <w:tcBorders>
              <w:top w:val="single" w:sz="24" w:space="0" w:color="000000"/>
              <w:left w:val="single" w:sz="8" w:space="0" w:color="000000"/>
              <w:bottom w:val="single" w:sz="8" w:space="0" w:color="000000"/>
              <w:right w:val="single" w:sz="8" w:space="0" w:color="000000"/>
            </w:tcBorders>
            <w:vAlign w:val="center"/>
          </w:tcPr>
          <w:p w14:paraId="506E1821" w14:textId="1D1318C5" w:rsidR="006C5FB1" w:rsidRPr="00A679B3" w:rsidRDefault="006C5FB1" w:rsidP="00F83FB8">
            <w:pPr>
              <w:ind w:left="71"/>
              <w:rPr>
                <w:rFonts w:ascii="Arial" w:eastAsia="Arial" w:hAnsi="Arial" w:cs="Arial"/>
                <w:bCs/>
                <w:sz w:val="21"/>
                <w:szCs w:val="21"/>
              </w:rPr>
            </w:pPr>
            <w:r w:rsidRPr="00A679B3">
              <w:rPr>
                <w:rFonts w:ascii="Arial" w:eastAsia="Arial" w:hAnsi="Arial" w:cs="Arial"/>
                <w:bCs/>
                <w:i/>
                <w:iCs/>
                <w:sz w:val="21"/>
                <w:szCs w:val="21"/>
              </w:rPr>
              <w:t>Implementation paradigms for MGCDS</w:t>
            </w:r>
            <w:r w:rsidR="00C33C1F" w:rsidRPr="00A679B3">
              <w:rPr>
                <w:rFonts w:ascii="Arial" w:eastAsia="Arial" w:hAnsi="Arial" w:cs="Arial"/>
                <w:bCs/>
                <w:i/>
                <w:iCs/>
                <w:sz w:val="21"/>
                <w:szCs w:val="21"/>
              </w:rPr>
              <w:t xml:space="preserve"> </w:t>
            </w:r>
            <w:r w:rsidR="00C33C1F" w:rsidRPr="00A679B3">
              <w:rPr>
                <w:rFonts w:ascii="Arial" w:eastAsia="Arial" w:hAnsi="Arial" w:cs="Arial"/>
                <w:bCs/>
                <w:sz w:val="21"/>
                <w:szCs w:val="21"/>
              </w:rPr>
              <w:t>(IMPL)</w:t>
            </w:r>
            <w:r w:rsidR="00811D93" w:rsidRPr="00A679B3">
              <w:rPr>
                <w:rFonts w:ascii="Arial" w:eastAsia="Arial" w:hAnsi="Arial" w:cs="Arial"/>
                <w:bCs/>
                <w:i/>
                <w:iCs/>
                <w:sz w:val="21"/>
                <w:szCs w:val="21"/>
              </w:rPr>
              <w:t>.</w:t>
            </w:r>
          </w:p>
          <w:p w14:paraId="756353DC" w14:textId="1EA66C27" w:rsidR="00811D93" w:rsidRPr="00811D93" w:rsidRDefault="00811D93" w:rsidP="00F83FB8">
            <w:pPr>
              <w:spacing w:before="120"/>
              <w:ind w:left="71"/>
              <w:rPr>
                <w:rFonts w:ascii="Arial" w:eastAsia="Arial" w:hAnsi="Arial" w:cs="Arial"/>
                <w:bCs/>
                <w:sz w:val="18"/>
                <w:szCs w:val="18"/>
              </w:rPr>
            </w:pPr>
            <w:r w:rsidRPr="00811D93">
              <w:rPr>
                <w:rFonts w:ascii="Arial" w:eastAsia="Arial" w:hAnsi="Arial" w:cs="Arial"/>
                <w:bCs/>
                <w:sz w:val="18"/>
                <w:szCs w:val="18"/>
              </w:rPr>
              <w:t>To implement the mitigation of detected multimorbidity conflicts, MGCDS methods often reuse and tailor automated planning, graph-based or logical reasoning paradigms. The IMPL dimension characterizes the utilized implementation paradigm, and covers all mitigation features (B1-B8).</w:t>
            </w:r>
          </w:p>
        </w:tc>
      </w:tr>
      <w:tr w:rsidR="006C5FB1" w14:paraId="0EAA8FA0" w14:textId="7C1D77D4" w:rsidTr="009401A5">
        <w:trPr>
          <w:trHeight w:val="105"/>
        </w:trPr>
        <w:tc>
          <w:tcPr>
            <w:tcW w:w="1521" w:type="dxa"/>
            <w:tcBorders>
              <w:top w:val="single" w:sz="8" w:space="0" w:color="000000"/>
              <w:left w:val="single" w:sz="8" w:space="0" w:color="000000"/>
              <w:bottom w:val="single" w:sz="6" w:space="0" w:color="CCCCCC"/>
              <w:right w:val="single" w:sz="8" w:space="0" w:color="000000"/>
            </w:tcBorders>
            <w:tcMar>
              <w:top w:w="30" w:type="dxa"/>
              <w:left w:w="45" w:type="dxa"/>
              <w:bottom w:w="30" w:type="dxa"/>
              <w:right w:w="45" w:type="dxa"/>
            </w:tcMar>
            <w:vAlign w:val="center"/>
          </w:tcPr>
          <w:p w14:paraId="371A7FEE" w14:textId="4FE467D8" w:rsidR="006C5FB1" w:rsidRDefault="006C5FB1" w:rsidP="006C5FB1">
            <w:pPr>
              <w:spacing w:after="240"/>
              <w:rPr>
                <w:rFonts w:ascii="Arial" w:eastAsia="Arial" w:hAnsi="Arial" w:cs="Arial"/>
                <w:sz w:val="18"/>
                <w:szCs w:val="18"/>
              </w:rPr>
            </w:pPr>
            <w:r>
              <w:rPr>
                <w:rFonts w:ascii="Arial" w:eastAsia="Arial" w:hAnsi="Arial" w:cs="Arial"/>
                <w:sz w:val="18"/>
                <w:szCs w:val="18"/>
              </w:rPr>
              <w:t>Automated planning</w:t>
            </w:r>
          </w:p>
        </w:tc>
        <w:tc>
          <w:tcPr>
            <w:tcW w:w="8579" w:type="dxa"/>
            <w:tcBorders>
              <w:top w:val="single" w:sz="8" w:space="0" w:color="000000"/>
              <w:left w:val="single" w:sz="8" w:space="0" w:color="000000"/>
              <w:bottom w:val="single" w:sz="6" w:space="0" w:color="CCCCCC"/>
              <w:right w:val="single" w:sz="8" w:space="0" w:color="000000"/>
            </w:tcBorders>
          </w:tcPr>
          <w:p w14:paraId="118AEF4A" w14:textId="6B95C91D" w:rsidR="006C5FB1" w:rsidRDefault="006F750C" w:rsidP="006C5FB1">
            <w:pPr>
              <w:spacing w:after="240"/>
              <w:rPr>
                <w:rFonts w:ascii="Arial" w:eastAsia="Arial" w:hAnsi="Arial" w:cs="Arial"/>
                <w:sz w:val="18"/>
                <w:szCs w:val="18"/>
              </w:rPr>
            </w:pPr>
            <w:r w:rsidRPr="006F750C">
              <w:rPr>
                <w:rFonts w:ascii="Arial" w:eastAsia="Arial" w:hAnsi="Arial" w:cs="Arial"/>
                <w:sz w:val="18"/>
                <w:szCs w:val="18"/>
              </w:rPr>
              <w:t>A planning approach can generate a globally optimal plan, such as a multimorbidity care plan or temporal task schedule that solves the multimorbidity problem for a patient. In particular, planning optimizes a multivariate objective function that encodes patient safety, finances, and/or preferences where factors can be weighted. This category includes planners based on Constraint Satisfaction Methods, Local Search, Hierarchical Task Networks, PDDL implementations (e.g., OPTIC) and any other planning mechanism.</w:t>
            </w:r>
          </w:p>
        </w:tc>
      </w:tr>
      <w:tr w:rsidR="006C5FB1" w14:paraId="0BDE0BE3" w14:textId="1A0A9352" w:rsidTr="009401A5">
        <w:trPr>
          <w:trHeight w:val="315"/>
        </w:trPr>
        <w:tc>
          <w:tcPr>
            <w:tcW w:w="1521" w:type="dxa"/>
            <w:tcBorders>
              <w:top w:val="single" w:sz="6" w:space="0" w:color="CCCCCC"/>
              <w:left w:val="single" w:sz="8" w:space="0" w:color="000000"/>
              <w:bottom w:val="single" w:sz="6" w:space="0" w:color="CCCCCC"/>
              <w:right w:val="single" w:sz="8" w:space="0" w:color="000000"/>
            </w:tcBorders>
            <w:tcMar>
              <w:top w:w="30" w:type="dxa"/>
              <w:left w:w="45" w:type="dxa"/>
              <w:bottom w:w="30" w:type="dxa"/>
              <w:right w:w="45" w:type="dxa"/>
            </w:tcMar>
            <w:vAlign w:val="center"/>
          </w:tcPr>
          <w:p w14:paraId="4054AF83" w14:textId="77777777" w:rsidR="006C5FB1" w:rsidRDefault="006C5FB1" w:rsidP="006C5FB1">
            <w:pPr>
              <w:rPr>
                <w:rFonts w:ascii="Arial" w:eastAsia="Arial" w:hAnsi="Arial" w:cs="Arial"/>
                <w:sz w:val="18"/>
                <w:szCs w:val="18"/>
              </w:rPr>
            </w:pPr>
            <w:r>
              <w:rPr>
                <w:rFonts w:ascii="Arial" w:eastAsia="Arial" w:hAnsi="Arial" w:cs="Arial"/>
                <w:sz w:val="18"/>
                <w:szCs w:val="18"/>
              </w:rPr>
              <w:lastRenderedPageBreak/>
              <w:t>Graph-based algorithms</w:t>
            </w:r>
          </w:p>
        </w:tc>
        <w:tc>
          <w:tcPr>
            <w:tcW w:w="8579" w:type="dxa"/>
            <w:tcBorders>
              <w:top w:val="single" w:sz="6" w:space="0" w:color="CCCCCC"/>
              <w:left w:val="single" w:sz="8" w:space="0" w:color="000000"/>
              <w:bottom w:val="single" w:sz="6" w:space="0" w:color="CCCCCC"/>
              <w:right w:val="single" w:sz="8" w:space="0" w:color="000000"/>
            </w:tcBorders>
          </w:tcPr>
          <w:p w14:paraId="22C2756D" w14:textId="0C519883" w:rsidR="006C5FB1" w:rsidRDefault="00AB24AA" w:rsidP="006C5FB1">
            <w:pPr>
              <w:rPr>
                <w:rFonts w:ascii="Arial" w:eastAsia="Arial" w:hAnsi="Arial" w:cs="Arial"/>
                <w:sz w:val="18"/>
                <w:szCs w:val="18"/>
              </w:rPr>
            </w:pPr>
            <w:r w:rsidRPr="00AB24AA">
              <w:rPr>
                <w:rFonts w:ascii="Arial" w:eastAsia="Arial" w:hAnsi="Arial" w:cs="Arial"/>
                <w:sz w:val="18"/>
                <w:szCs w:val="18"/>
              </w:rPr>
              <w:t>Graph-based algorithms leverage the graph structure of CIG workflows to find conflict-free treatment plans.</w:t>
            </w:r>
            <w:r>
              <w:rPr>
                <w:rFonts w:ascii="Arial" w:eastAsia="Arial" w:hAnsi="Arial" w:cs="Arial"/>
                <w:sz w:val="18"/>
                <w:szCs w:val="18"/>
              </w:rPr>
              <w:t xml:space="preserve"> Examples</w:t>
            </w:r>
            <w:r w:rsidRPr="00AB24AA">
              <w:rPr>
                <w:rFonts w:ascii="Arial" w:eastAsia="Arial" w:hAnsi="Arial" w:cs="Arial"/>
                <w:sz w:val="18"/>
                <w:szCs w:val="18"/>
              </w:rPr>
              <w:t xml:space="preserve"> </w:t>
            </w:r>
            <w:r>
              <w:rPr>
                <w:rFonts w:ascii="Arial" w:eastAsia="Arial" w:hAnsi="Arial" w:cs="Arial"/>
                <w:sz w:val="18"/>
                <w:szCs w:val="18"/>
              </w:rPr>
              <w:t xml:space="preserve">include </w:t>
            </w:r>
            <w:r w:rsidRPr="00AB24AA">
              <w:rPr>
                <w:rFonts w:ascii="Arial" w:eastAsia="Arial" w:hAnsi="Arial" w:cs="Arial"/>
                <w:sz w:val="18"/>
                <w:szCs w:val="18"/>
              </w:rPr>
              <w:t>a backtracking-style algorithm that follows alternative branches at decision nodes to search for conflict-free treatment plans.</w:t>
            </w:r>
          </w:p>
        </w:tc>
      </w:tr>
      <w:tr w:rsidR="006C5FB1" w14:paraId="5C8D06F5" w14:textId="191F98C3" w:rsidTr="00AD1213">
        <w:trPr>
          <w:trHeight w:val="315"/>
        </w:trPr>
        <w:tc>
          <w:tcPr>
            <w:tcW w:w="1521" w:type="dxa"/>
            <w:tcBorders>
              <w:top w:val="single" w:sz="6" w:space="0" w:color="CCCCCC"/>
              <w:left w:val="single" w:sz="8" w:space="0" w:color="000000"/>
              <w:bottom w:val="single" w:sz="24" w:space="0" w:color="000000"/>
              <w:right w:val="single" w:sz="8" w:space="0" w:color="000000"/>
            </w:tcBorders>
            <w:tcMar>
              <w:top w:w="30" w:type="dxa"/>
              <w:left w:w="45" w:type="dxa"/>
              <w:bottom w:w="30" w:type="dxa"/>
              <w:right w:w="45" w:type="dxa"/>
            </w:tcMar>
            <w:vAlign w:val="center"/>
          </w:tcPr>
          <w:p w14:paraId="607AA807" w14:textId="77777777" w:rsidR="006C5FB1" w:rsidRDefault="006C5FB1" w:rsidP="006C5FB1">
            <w:pPr>
              <w:rPr>
                <w:rFonts w:ascii="Arial" w:eastAsia="Arial" w:hAnsi="Arial" w:cs="Arial"/>
                <w:sz w:val="18"/>
                <w:szCs w:val="18"/>
              </w:rPr>
            </w:pPr>
            <w:r>
              <w:rPr>
                <w:rFonts w:ascii="Arial" w:eastAsia="Arial" w:hAnsi="Arial" w:cs="Arial"/>
                <w:sz w:val="18"/>
                <w:szCs w:val="18"/>
              </w:rPr>
              <w:t>Logic-based foundations</w:t>
            </w:r>
          </w:p>
        </w:tc>
        <w:tc>
          <w:tcPr>
            <w:tcW w:w="8579" w:type="dxa"/>
            <w:tcBorders>
              <w:top w:val="single" w:sz="6" w:space="0" w:color="CCCCCC"/>
              <w:left w:val="single" w:sz="8" w:space="0" w:color="000000"/>
              <w:bottom w:val="single" w:sz="24" w:space="0" w:color="000000"/>
              <w:right w:val="single" w:sz="8" w:space="0" w:color="000000"/>
            </w:tcBorders>
          </w:tcPr>
          <w:p w14:paraId="6C343339" w14:textId="55FE48EC" w:rsidR="006C5FB1" w:rsidRDefault="0054097C" w:rsidP="006C5FB1">
            <w:pPr>
              <w:rPr>
                <w:rFonts w:ascii="Arial" w:eastAsia="Arial" w:hAnsi="Arial" w:cs="Arial"/>
                <w:sz w:val="18"/>
                <w:szCs w:val="18"/>
              </w:rPr>
            </w:pPr>
            <w:r w:rsidRPr="0054097C">
              <w:rPr>
                <w:rFonts w:ascii="Arial" w:eastAsia="Arial" w:hAnsi="Arial" w:cs="Arial"/>
                <w:sz w:val="18"/>
                <w:szCs w:val="18"/>
              </w:rPr>
              <w:t>Logical formalisms, including First Order Logic, Constraint Logic Programming, Description Logic, and Transaction Logic, have been utilized to solve the multimorbidity problem.</w:t>
            </w:r>
          </w:p>
        </w:tc>
      </w:tr>
      <w:tr w:rsidR="006C5FB1" w14:paraId="1BCFBDF6" w14:textId="77777777" w:rsidTr="00AD1213">
        <w:trPr>
          <w:trHeight w:val="315"/>
        </w:trPr>
        <w:tc>
          <w:tcPr>
            <w:tcW w:w="10100" w:type="dxa"/>
            <w:gridSpan w:val="2"/>
            <w:tcBorders>
              <w:top w:val="single" w:sz="24" w:space="0" w:color="000000"/>
              <w:left w:val="single" w:sz="8" w:space="0" w:color="000000"/>
              <w:bottom w:val="single" w:sz="8" w:space="0" w:color="000000"/>
              <w:right w:val="single" w:sz="8" w:space="0" w:color="000000"/>
            </w:tcBorders>
            <w:vAlign w:val="center"/>
          </w:tcPr>
          <w:p w14:paraId="2333D46C" w14:textId="77777777" w:rsidR="006C5FB1" w:rsidRPr="00A679B3" w:rsidRDefault="006C5FB1" w:rsidP="00F83FB8">
            <w:pPr>
              <w:ind w:left="71"/>
              <w:rPr>
                <w:rFonts w:ascii="Arial" w:eastAsia="Arial" w:hAnsi="Arial" w:cs="Arial"/>
                <w:bCs/>
                <w:sz w:val="21"/>
                <w:szCs w:val="21"/>
              </w:rPr>
            </w:pPr>
            <w:r w:rsidRPr="00A679B3">
              <w:rPr>
                <w:rFonts w:ascii="Arial" w:eastAsia="Arial" w:hAnsi="Arial" w:cs="Arial"/>
                <w:bCs/>
                <w:i/>
                <w:iCs/>
                <w:sz w:val="21"/>
                <w:szCs w:val="21"/>
              </w:rPr>
              <w:t>Human-in-the-loop mitigation support</w:t>
            </w:r>
            <w:r w:rsidR="00C33C1F" w:rsidRPr="00A679B3">
              <w:rPr>
                <w:rFonts w:ascii="Arial" w:eastAsia="Arial" w:hAnsi="Arial" w:cs="Arial"/>
                <w:bCs/>
                <w:i/>
                <w:iCs/>
                <w:sz w:val="21"/>
                <w:szCs w:val="21"/>
              </w:rPr>
              <w:t xml:space="preserve"> </w:t>
            </w:r>
            <w:r w:rsidR="00C33C1F" w:rsidRPr="00A679B3">
              <w:rPr>
                <w:rFonts w:ascii="Arial" w:eastAsia="Arial" w:hAnsi="Arial" w:cs="Arial"/>
                <w:bCs/>
                <w:sz w:val="21"/>
                <w:szCs w:val="21"/>
              </w:rPr>
              <w:t>(HUM).</w:t>
            </w:r>
          </w:p>
          <w:p w14:paraId="2950CCDB" w14:textId="1669074F" w:rsidR="00D91F81" w:rsidRPr="00C33C1F" w:rsidRDefault="00D91F81" w:rsidP="00F83FB8">
            <w:pPr>
              <w:spacing w:before="120"/>
              <w:ind w:left="71"/>
              <w:rPr>
                <w:rFonts w:ascii="Arial" w:eastAsia="Arial" w:hAnsi="Arial" w:cs="Arial"/>
                <w:bCs/>
                <w:sz w:val="18"/>
                <w:szCs w:val="18"/>
              </w:rPr>
            </w:pPr>
            <w:r w:rsidRPr="00F30FFA">
              <w:rPr>
                <w:rFonts w:ascii="Arial" w:eastAsia="Arial" w:hAnsi="Arial" w:cs="Arial"/>
                <w:sz w:val="18"/>
                <w:szCs w:val="18"/>
              </w:rPr>
              <w:t>Some MGCDS methods support explicit interaction with clinicians to help find treatment plans; explanations can be provided to support these interactions. We further observed push- and pull-based modes of use. The HUM dimension characterizes these human-in-the-loop aspects, and covers detection and mitigation features (A1-A7, B1-B8)</w:t>
            </w:r>
            <w:r>
              <w:rPr>
                <w:rFonts w:ascii="Arial" w:eastAsia="Arial" w:hAnsi="Arial" w:cs="Arial"/>
                <w:sz w:val="18"/>
                <w:szCs w:val="18"/>
              </w:rPr>
              <w:t>.</w:t>
            </w:r>
          </w:p>
        </w:tc>
      </w:tr>
      <w:tr w:rsidR="00FA38F3" w14:paraId="0EA04BBD" w14:textId="7AA97166" w:rsidTr="009401A5">
        <w:trPr>
          <w:trHeight w:val="315"/>
        </w:trPr>
        <w:tc>
          <w:tcPr>
            <w:tcW w:w="1521" w:type="dxa"/>
            <w:tcBorders>
              <w:top w:val="single" w:sz="8" w:space="0" w:color="000000"/>
              <w:left w:val="single" w:sz="8" w:space="0" w:color="000000"/>
              <w:bottom w:val="single" w:sz="6" w:space="0" w:color="CCCCCC"/>
              <w:right w:val="single" w:sz="8" w:space="0" w:color="000000"/>
            </w:tcBorders>
            <w:tcMar>
              <w:top w:w="30" w:type="dxa"/>
              <w:left w:w="45" w:type="dxa"/>
              <w:bottom w:w="30" w:type="dxa"/>
              <w:right w:w="45" w:type="dxa"/>
            </w:tcMar>
            <w:vAlign w:val="center"/>
          </w:tcPr>
          <w:p w14:paraId="0BB73606" w14:textId="77777777" w:rsidR="00FA38F3" w:rsidRDefault="00FA38F3" w:rsidP="00FA38F3">
            <w:pPr>
              <w:rPr>
                <w:rFonts w:ascii="Arial" w:eastAsia="Arial" w:hAnsi="Arial" w:cs="Arial"/>
                <w:sz w:val="18"/>
                <w:szCs w:val="18"/>
              </w:rPr>
            </w:pPr>
            <w:r>
              <w:rPr>
                <w:rFonts w:ascii="Arial" w:eastAsia="Arial" w:hAnsi="Arial" w:cs="Arial"/>
                <w:sz w:val="18"/>
                <w:szCs w:val="18"/>
              </w:rPr>
              <w:t>Explanations for recommendations</w:t>
            </w:r>
          </w:p>
        </w:tc>
        <w:tc>
          <w:tcPr>
            <w:tcW w:w="8579" w:type="dxa"/>
            <w:tcBorders>
              <w:top w:val="single" w:sz="8" w:space="0" w:color="000000"/>
              <w:left w:val="single" w:sz="8" w:space="0" w:color="000000"/>
              <w:bottom w:val="single" w:sz="6" w:space="0" w:color="CCCCCC"/>
              <w:right w:val="single" w:sz="8" w:space="0" w:color="000000"/>
            </w:tcBorders>
          </w:tcPr>
          <w:p w14:paraId="51706026" w14:textId="6BDDFC69" w:rsidR="00FA38F3" w:rsidRDefault="00FA38F3" w:rsidP="00FA38F3">
            <w:pPr>
              <w:rPr>
                <w:rFonts w:ascii="Arial" w:eastAsia="Arial" w:hAnsi="Arial" w:cs="Arial"/>
                <w:sz w:val="18"/>
                <w:szCs w:val="18"/>
              </w:rPr>
            </w:pPr>
            <w:r w:rsidRPr="002F7177">
              <w:rPr>
                <w:rFonts w:ascii="Arial" w:eastAsia="Arial" w:hAnsi="Arial" w:cs="Arial"/>
                <w:sz w:val="18"/>
                <w:szCs w:val="18"/>
              </w:rPr>
              <w:t>Explanations can clarify the reason for a detected conflict or mitigation strategy</w:t>
            </w:r>
            <w:r>
              <w:rPr>
                <w:rFonts w:ascii="Arial" w:eastAsia="Arial" w:hAnsi="Arial" w:cs="Arial"/>
                <w:sz w:val="18"/>
                <w:szCs w:val="18"/>
              </w:rPr>
              <w:t>.</w:t>
            </w:r>
          </w:p>
        </w:tc>
      </w:tr>
      <w:tr w:rsidR="00FA38F3" w14:paraId="5AC6227A" w14:textId="5F2562A7" w:rsidTr="009401A5">
        <w:trPr>
          <w:trHeight w:val="206"/>
        </w:trPr>
        <w:tc>
          <w:tcPr>
            <w:tcW w:w="1521" w:type="dxa"/>
            <w:tcBorders>
              <w:top w:val="single" w:sz="6" w:space="0" w:color="CCCCCC"/>
              <w:left w:val="single" w:sz="8" w:space="0" w:color="000000"/>
              <w:bottom w:val="single" w:sz="6" w:space="0" w:color="CCCCCC"/>
              <w:right w:val="single" w:sz="8" w:space="0" w:color="000000"/>
            </w:tcBorders>
            <w:tcMar>
              <w:top w:w="30" w:type="dxa"/>
              <w:left w:w="45" w:type="dxa"/>
              <w:bottom w:w="30" w:type="dxa"/>
              <w:right w:w="45" w:type="dxa"/>
            </w:tcMar>
          </w:tcPr>
          <w:p w14:paraId="3686570B" w14:textId="77777777" w:rsidR="00FA38F3" w:rsidRDefault="00FA38F3" w:rsidP="00FA38F3">
            <w:pPr>
              <w:rPr>
                <w:rFonts w:ascii="Arial" w:eastAsia="Arial" w:hAnsi="Arial" w:cs="Arial"/>
                <w:sz w:val="18"/>
                <w:szCs w:val="18"/>
              </w:rPr>
            </w:pPr>
            <w:r>
              <w:rPr>
                <w:rFonts w:ascii="Arial" w:eastAsia="Arial" w:hAnsi="Arial" w:cs="Arial"/>
                <w:sz w:val="18"/>
                <w:szCs w:val="18"/>
              </w:rPr>
              <w:t>Mitigation support for clinicians</w:t>
            </w:r>
          </w:p>
        </w:tc>
        <w:tc>
          <w:tcPr>
            <w:tcW w:w="8579" w:type="dxa"/>
            <w:tcBorders>
              <w:top w:val="single" w:sz="6" w:space="0" w:color="CCCCCC"/>
              <w:left w:val="single" w:sz="8" w:space="0" w:color="000000"/>
              <w:bottom w:val="single" w:sz="6" w:space="0" w:color="CCCCCC"/>
              <w:right w:val="single" w:sz="8" w:space="0" w:color="000000"/>
            </w:tcBorders>
          </w:tcPr>
          <w:p w14:paraId="38467A22" w14:textId="531945A5" w:rsidR="00FA38F3" w:rsidRDefault="00FA38F3" w:rsidP="00FA38F3">
            <w:pPr>
              <w:rPr>
                <w:rFonts w:ascii="Arial" w:eastAsia="Arial" w:hAnsi="Arial" w:cs="Arial"/>
                <w:sz w:val="18"/>
                <w:szCs w:val="18"/>
              </w:rPr>
            </w:pPr>
            <w:r w:rsidRPr="00E9538E">
              <w:rPr>
                <w:rFonts w:ascii="Arial" w:eastAsia="Arial" w:hAnsi="Arial" w:cs="Arial"/>
                <w:sz w:val="18"/>
                <w:szCs w:val="18"/>
              </w:rPr>
              <w:t>This dimension concerns concrete tools that can be directly utilized by clinicians as non-programmers.</w:t>
            </w:r>
          </w:p>
        </w:tc>
      </w:tr>
      <w:tr w:rsidR="00FA38F3" w14:paraId="00E7CDC0" w14:textId="02C83F8D" w:rsidTr="009401A5">
        <w:trPr>
          <w:trHeight w:val="315"/>
        </w:trPr>
        <w:tc>
          <w:tcPr>
            <w:tcW w:w="1521" w:type="dxa"/>
            <w:tcBorders>
              <w:top w:val="single" w:sz="6" w:space="0" w:color="CCCCCC"/>
              <w:left w:val="single" w:sz="8" w:space="0" w:color="000000"/>
              <w:bottom w:val="single" w:sz="6" w:space="0" w:color="CCCCCC"/>
              <w:right w:val="single" w:sz="8" w:space="0" w:color="000000"/>
            </w:tcBorders>
            <w:tcMar>
              <w:top w:w="30" w:type="dxa"/>
              <w:left w:w="45" w:type="dxa"/>
              <w:bottom w:w="30" w:type="dxa"/>
              <w:right w:w="45" w:type="dxa"/>
            </w:tcMar>
            <w:vAlign w:val="bottom"/>
          </w:tcPr>
          <w:p w14:paraId="7E258838" w14:textId="77777777" w:rsidR="00FA38F3" w:rsidRDefault="00FA38F3" w:rsidP="00FA38F3">
            <w:pPr>
              <w:rPr>
                <w:rFonts w:ascii="Arial" w:eastAsia="Arial" w:hAnsi="Arial" w:cs="Arial"/>
                <w:sz w:val="18"/>
                <w:szCs w:val="18"/>
              </w:rPr>
            </w:pPr>
            <w:r>
              <w:rPr>
                <w:rFonts w:ascii="Arial" w:eastAsia="Arial" w:hAnsi="Arial" w:cs="Arial"/>
                <w:sz w:val="18"/>
                <w:szCs w:val="18"/>
              </w:rPr>
              <w:t>Mode of use: Pull-based</w:t>
            </w:r>
          </w:p>
        </w:tc>
        <w:tc>
          <w:tcPr>
            <w:tcW w:w="8579" w:type="dxa"/>
            <w:tcBorders>
              <w:top w:val="single" w:sz="6" w:space="0" w:color="CCCCCC"/>
              <w:left w:val="single" w:sz="8" w:space="0" w:color="000000"/>
              <w:bottom w:val="single" w:sz="6" w:space="0" w:color="CCCCCC"/>
              <w:right w:val="single" w:sz="8" w:space="0" w:color="000000"/>
            </w:tcBorders>
          </w:tcPr>
          <w:p w14:paraId="573AA57D" w14:textId="0BB5CE2C" w:rsidR="00FA38F3" w:rsidRDefault="00FA38F3" w:rsidP="00FA38F3">
            <w:pPr>
              <w:rPr>
                <w:rFonts w:ascii="Arial" w:eastAsia="Arial" w:hAnsi="Arial" w:cs="Arial"/>
                <w:sz w:val="18"/>
                <w:szCs w:val="18"/>
              </w:rPr>
            </w:pPr>
            <w:r w:rsidRPr="00D91F81">
              <w:rPr>
                <w:rFonts w:ascii="Arial" w:eastAsia="Arial" w:hAnsi="Arial" w:cs="Arial"/>
                <w:sz w:val="18"/>
                <w:szCs w:val="18"/>
              </w:rPr>
              <w:t>Most evaluated MGCDS methods follow a pull-based, user-initiated paradigm: clinicians input relevant multimorbidity CIG and patient health data, and utilize the method to detect interactions and apply mitigations (i.e., “passive” delivery)</w:t>
            </w:r>
            <w:r w:rsidR="00D02805">
              <w:rPr>
                <w:rFonts w:ascii="Arial" w:eastAsia="Arial" w:hAnsi="Arial" w:cs="Arial"/>
                <w:sz w:val="18"/>
                <w:szCs w:val="18"/>
              </w:rPr>
              <w:t>.</w:t>
            </w:r>
          </w:p>
        </w:tc>
      </w:tr>
      <w:tr w:rsidR="00FA38F3" w14:paraId="6AB500EA" w14:textId="7FEB9F20" w:rsidTr="009401A5">
        <w:trPr>
          <w:trHeight w:val="315"/>
        </w:trPr>
        <w:tc>
          <w:tcPr>
            <w:tcW w:w="1521" w:type="dxa"/>
            <w:tcBorders>
              <w:top w:val="single" w:sz="6" w:space="0" w:color="CCCCCC"/>
              <w:left w:val="single" w:sz="8" w:space="0" w:color="000000"/>
              <w:bottom w:val="single" w:sz="6" w:space="0" w:color="CCCCCC"/>
              <w:right w:val="single" w:sz="8" w:space="0" w:color="000000"/>
            </w:tcBorders>
            <w:tcMar>
              <w:top w:w="30" w:type="dxa"/>
              <w:left w:w="45" w:type="dxa"/>
              <w:bottom w:w="30" w:type="dxa"/>
              <w:right w:w="45" w:type="dxa"/>
            </w:tcMar>
            <w:vAlign w:val="bottom"/>
          </w:tcPr>
          <w:p w14:paraId="57CCE689" w14:textId="2456C64F" w:rsidR="00FA38F3" w:rsidRDefault="00FA38F3" w:rsidP="00FA38F3">
            <w:pPr>
              <w:rPr>
                <w:rFonts w:ascii="Arial" w:eastAsia="Arial" w:hAnsi="Arial" w:cs="Arial"/>
                <w:sz w:val="18"/>
                <w:szCs w:val="18"/>
              </w:rPr>
            </w:pPr>
            <w:r>
              <w:rPr>
                <w:rFonts w:ascii="Arial" w:eastAsia="Arial" w:hAnsi="Arial" w:cs="Arial"/>
                <w:sz w:val="18"/>
                <w:szCs w:val="18"/>
              </w:rPr>
              <w:t>Mode of use: Push-based</w:t>
            </w:r>
          </w:p>
        </w:tc>
        <w:tc>
          <w:tcPr>
            <w:tcW w:w="8579" w:type="dxa"/>
            <w:tcBorders>
              <w:top w:val="single" w:sz="6" w:space="0" w:color="CCCCCC"/>
              <w:left w:val="single" w:sz="8" w:space="0" w:color="000000"/>
              <w:bottom w:val="single" w:sz="6" w:space="0" w:color="CCCCCC"/>
              <w:right w:val="single" w:sz="8" w:space="0" w:color="000000"/>
            </w:tcBorders>
          </w:tcPr>
          <w:p w14:paraId="0D4482FE" w14:textId="37B3D222" w:rsidR="00FA38F3" w:rsidRDefault="00B04B92" w:rsidP="00FA38F3">
            <w:pPr>
              <w:rPr>
                <w:rFonts w:ascii="Arial" w:eastAsia="Arial" w:hAnsi="Arial" w:cs="Arial"/>
                <w:sz w:val="18"/>
                <w:szCs w:val="18"/>
              </w:rPr>
            </w:pPr>
            <w:r>
              <w:rPr>
                <w:rFonts w:ascii="Arial" w:eastAsia="Arial" w:hAnsi="Arial" w:cs="Arial"/>
                <w:sz w:val="18"/>
                <w:szCs w:val="18"/>
              </w:rPr>
              <w:t>A</w:t>
            </w:r>
            <w:r w:rsidRPr="00B04B92">
              <w:rPr>
                <w:rFonts w:ascii="Arial" w:eastAsia="Arial" w:hAnsi="Arial" w:cs="Arial"/>
                <w:sz w:val="18"/>
                <w:szCs w:val="18"/>
              </w:rPr>
              <w:t xml:space="preserve"> push-based, system-initiated paradigm (“active” delivery)</w:t>
            </w:r>
            <w:r>
              <w:rPr>
                <w:rFonts w:ascii="Arial" w:eastAsia="Arial" w:hAnsi="Arial" w:cs="Arial"/>
                <w:sz w:val="18"/>
                <w:szCs w:val="18"/>
              </w:rPr>
              <w:t xml:space="preserve"> where actions are under</w:t>
            </w:r>
            <w:r w:rsidR="00210BF3">
              <w:rPr>
                <w:rFonts w:ascii="Arial" w:eastAsia="Arial" w:hAnsi="Arial" w:cs="Arial"/>
                <w:sz w:val="18"/>
                <w:szCs w:val="18"/>
              </w:rPr>
              <w:t>t</w:t>
            </w:r>
            <w:r>
              <w:rPr>
                <w:rFonts w:ascii="Arial" w:eastAsia="Arial" w:hAnsi="Arial" w:cs="Arial"/>
                <w:sz w:val="18"/>
                <w:szCs w:val="18"/>
              </w:rPr>
              <w:t>aken</w:t>
            </w:r>
            <w:r w:rsidRPr="00B04B92">
              <w:rPr>
                <w:rFonts w:ascii="Arial" w:eastAsia="Arial" w:hAnsi="Arial" w:cs="Arial"/>
                <w:sz w:val="18"/>
                <w:szCs w:val="18"/>
              </w:rPr>
              <w:t xml:space="preserve"> as new lab results or health data becomes available</w:t>
            </w:r>
            <w:r>
              <w:rPr>
                <w:rFonts w:ascii="Arial" w:eastAsia="Arial" w:hAnsi="Arial" w:cs="Arial"/>
                <w:sz w:val="18"/>
                <w:szCs w:val="18"/>
              </w:rPr>
              <w:t>.</w:t>
            </w:r>
          </w:p>
        </w:tc>
      </w:tr>
    </w:tbl>
    <w:p w14:paraId="5047C9D4" w14:textId="77777777" w:rsidR="00FD3CD0" w:rsidRDefault="00FD3CD0"/>
    <w:sectPr w:rsidR="00FD3C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1EA6" w14:textId="77777777" w:rsidR="00A5757B" w:rsidRDefault="00A5757B" w:rsidP="00252FF2">
      <w:r>
        <w:separator/>
      </w:r>
    </w:p>
  </w:endnote>
  <w:endnote w:type="continuationSeparator" w:id="0">
    <w:p w14:paraId="1562EE1D" w14:textId="77777777" w:rsidR="00A5757B" w:rsidRDefault="00A5757B" w:rsidP="0025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6647" w14:textId="77777777" w:rsidR="00A5757B" w:rsidRDefault="00A5757B" w:rsidP="00252FF2">
      <w:r>
        <w:separator/>
      </w:r>
    </w:p>
  </w:footnote>
  <w:footnote w:type="continuationSeparator" w:id="0">
    <w:p w14:paraId="6C50B05A" w14:textId="77777777" w:rsidR="00A5757B" w:rsidRDefault="00A5757B" w:rsidP="00252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D0"/>
    <w:rsid w:val="001013DF"/>
    <w:rsid w:val="00210BF3"/>
    <w:rsid w:val="00217833"/>
    <w:rsid w:val="00244FE6"/>
    <w:rsid w:val="00252FF2"/>
    <w:rsid w:val="002667B3"/>
    <w:rsid w:val="002C2991"/>
    <w:rsid w:val="002F7177"/>
    <w:rsid w:val="00302ABD"/>
    <w:rsid w:val="003615E4"/>
    <w:rsid w:val="0044582B"/>
    <w:rsid w:val="004B7A26"/>
    <w:rsid w:val="00514EAE"/>
    <w:rsid w:val="0054097C"/>
    <w:rsid w:val="00566B4E"/>
    <w:rsid w:val="00663B54"/>
    <w:rsid w:val="006C5FB1"/>
    <w:rsid w:val="006F750C"/>
    <w:rsid w:val="007577E8"/>
    <w:rsid w:val="007D6A9A"/>
    <w:rsid w:val="00811D93"/>
    <w:rsid w:val="00885D12"/>
    <w:rsid w:val="008D43EA"/>
    <w:rsid w:val="00927C71"/>
    <w:rsid w:val="009401A5"/>
    <w:rsid w:val="009C5AC4"/>
    <w:rsid w:val="009E3990"/>
    <w:rsid w:val="00A5757B"/>
    <w:rsid w:val="00A679B3"/>
    <w:rsid w:val="00AB24AA"/>
    <w:rsid w:val="00AD1213"/>
    <w:rsid w:val="00B04B92"/>
    <w:rsid w:val="00B62654"/>
    <w:rsid w:val="00BF2492"/>
    <w:rsid w:val="00C33C1F"/>
    <w:rsid w:val="00D01944"/>
    <w:rsid w:val="00D02805"/>
    <w:rsid w:val="00D05569"/>
    <w:rsid w:val="00D91F81"/>
    <w:rsid w:val="00DD4674"/>
    <w:rsid w:val="00DD6D2F"/>
    <w:rsid w:val="00E006C0"/>
    <w:rsid w:val="00E0374B"/>
    <w:rsid w:val="00E9538E"/>
    <w:rsid w:val="00EE73C1"/>
    <w:rsid w:val="00F30FFA"/>
    <w:rsid w:val="00F801BD"/>
    <w:rsid w:val="00F83FB8"/>
    <w:rsid w:val="00FA38F3"/>
    <w:rsid w:val="00FD3C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419F9D"/>
  <w15:chartTrackingRefBased/>
  <w15:docId w15:val="{48D36C15-24E7-A843-9981-178555F1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D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Woensel</dc:creator>
  <cp:keywords/>
  <dc:description/>
  <cp:lastModifiedBy>William Van Woensel</cp:lastModifiedBy>
  <cp:revision>49</cp:revision>
  <dcterms:created xsi:type="dcterms:W3CDTF">2023-02-06T20:09:00Z</dcterms:created>
  <dcterms:modified xsi:type="dcterms:W3CDTF">2023-02-06T20:25:00Z</dcterms:modified>
</cp:coreProperties>
</file>