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C32DA" w:rsidRDefault="005212D6">
      <w:pPr>
        <w:pStyle w:val="Heading2"/>
      </w:pPr>
      <w:r>
        <w:t>3 Venous Thromboembolism /Urinary tract infection</w:t>
      </w:r>
    </w:p>
    <w:p w14:paraId="00000002" w14:textId="77777777" w:rsidR="003C32DA" w:rsidRDefault="005212D6">
      <w:r>
        <w:t>William Van Woensel</w:t>
      </w:r>
      <w:r>
        <w:rPr>
          <w:vertAlign w:val="superscript"/>
        </w:rPr>
        <w:t>1</w:t>
      </w:r>
      <w:r>
        <w:t xml:space="preserve">, </w:t>
      </w:r>
      <w:proofErr w:type="spellStart"/>
      <w:r>
        <w:t>Samina</w:t>
      </w:r>
      <w:proofErr w:type="spellEnd"/>
      <w:r>
        <w:t xml:space="preserve"> Abidi</w:t>
      </w:r>
      <w:r>
        <w:rPr>
          <w:vertAlign w:val="superscript"/>
        </w:rPr>
        <w:t>2</w:t>
      </w:r>
      <w:r>
        <w:t xml:space="preserve">, Syed </w:t>
      </w:r>
      <w:proofErr w:type="spellStart"/>
      <w:r>
        <w:t>Sibte</w:t>
      </w:r>
      <w:proofErr w:type="spellEnd"/>
      <w:r>
        <w:t xml:space="preserve"> Raza Abidi</w:t>
      </w:r>
      <w:r>
        <w:rPr>
          <w:vertAlign w:val="superscript"/>
        </w:rPr>
        <w:t>1</w:t>
      </w:r>
    </w:p>
    <w:p w14:paraId="00000003" w14:textId="77777777" w:rsidR="003C32DA" w:rsidRDefault="005212D6">
      <w:pPr>
        <w:rPr>
          <w:sz w:val="22"/>
          <w:szCs w:val="22"/>
        </w:rPr>
      </w:pP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>NICHE Research Group, Dalhousie University, Halifax, Canada</w:t>
      </w:r>
    </w:p>
    <w:p w14:paraId="00000004" w14:textId="77777777" w:rsidR="003C32DA" w:rsidRDefault="005212D6">
      <w:pPr>
        <w:spacing w:after="0"/>
        <w:rPr>
          <w:sz w:val="22"/>
          <w:szCs w:val="22"/>
        </w:rPr>
      </w:pP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Medical Informatics Faculty of Medicine, Dalhousie University, Canada</w:t>
      </w:r>
    </w:p>
    <w:p w14:paraId="00000005" w14:textId="77777777" w:rsidR="003C32DA" w:rsidRDefault="005212D6">
      <w:pPr>
        <w:spacing w:before="320"/>
        <w:jc w:val="both"/>
      </w:pPr>
      <w:r>
        <w:t>Recommendations for Venous Thromboembolism (VTE) prescribe treatment with DOACs</w:t>
      </w:r>
      <w:r>
        <w:rPr>
          <w:vertAlign w:val="superscript"/>
        </w:rPr>
        <w:footnoteReference w:id="1"/>
      </w:r>
      <w:r>
        <w:t xml:space="preserve"> as preferred line of treatment, or warfarin, which may be indicated in other cases</w:t>
      </w:r>
      <w:r>
        <w:rPr>
          <w:vertAlign w:val="superscript"/>
        </w:rPr>
        <w:footnoteReference w:id="2"/>
      </w:r>
      <w:r>
        <w:t>. For bacterial urinary tract infection (UTI), guidelines recommend treatment with an antibi</w:t>
      </w:r>
      <w:r>
        <w:t xml:space="preserve">otic such as trimethoprim–sulfamethoxazole (TMP/SMX) because of its low cost, effectiveness and familiarity among clinicians. </w:t>
      </w:r>
      <w:r w:rsidRPr="00F36724">
        <w:rPr>
          <w:highlight w:val="yellow"/>
        </w:rPr>
        <w:t>The primary mechanisms by which antibiotic medications interact with warfarin to increase the risk of major bleeding is through di</w:t>
      </w:r>
      <w:r w:rsidRPr="00F36724">
        <w:rPr>
          <w:highlight w:val="yellow"/>
        </w:rPr>
        <w:t xml:space="preserve">sruption of intestinal flora that synthesize vitamin K, and inhibition of cytochrome p450 isozymes which </w:t>
      </w:r>
      <w:commentRangeStart w:id="0"/>
      <w:r w:rsidRPr="00F36724">
        <w:rPr>
          <w:highlight w:val="yellow"/>
        </w:rPr>
        <w:t>metabolize warfarin</w:t>
      </w:r>
      <w:commentRangeEnd w:id="0"/>
      <w:r w:rsidR="00F36724">
        <w:rPr>
          <w:rStyle w:val="CommentReference"/>
        </w:rPr>
        <w:commentReference w:id="0"/>
      </w:r>
      <w:r w:rsidRPr="00F36724">
        <w:rPr>
          <w:highlight w:val="yellow"/>
          <w:vertAlign w:val="superscript"/>
        </w:rPr>
        <w:footnoteReference w:id="3"/>
      </w:r>
      <w:r w:rsidRPr="00F36724">
        <w:rPr>
          <w:highlight w:val="yellow"/>
        </w:rPr>
        <w:t>. Interactions between warfarin and specific antibiotic agents have been widely assessed, also for the specific case of UTI</w:t>
      </w:r>
      <w:r w:rsidRPr="00F36724">
        <w:rPr>
          <w:highlight w:val="yellow"/>
          <w:vertAlign w:val="superscript"/>
        </w:rPr>
        <w:footnoteReference w:id="4"/>
      </w:r>
      <w:r w:rsidRPr="00F36724">
        <w:rPr>
          <w:highlight w:val="yellow"/>
        </w:rPr>
        <w:t>.</w:t>
      </w:r>
      <w:r>
        <w:t xml:space="preserve"> </w:t>
      </w:r>
      <w:r w:rsidRPr="00F36724">
        <w:rPr>
          <w:highlight w:val="yellow"/>
        </w:rPr>
        <w:t>The a</w:t>
      </w:r>
      <w:r w:rsidRPr="00F36724">
        <w:rPr>
          <w:highlight w:val="yellow"/>
        </w:rPr>
        <w:t>ntibiotics most likely to interfere with warfarin are TMP/SMX</w:t>
      </w:r>
      <w:r>
        <w:t>, ciprofloxacin, levofloxacin, metronidazole, fluconazole, azithromycin, and clarithromycin. Low-risk agents include clindamycin, cephalexin, and penicillin G</w:t>
      </w:r>
      <w:r>
        <w:rPr>
          <w:vertAlign w:val="superscript"/>
        </w:rPr>
        <w:t>3</w:t>
      </w:r>
      <w:r>
        <w:t>. Notwithstanding, concomitant treat</w:t>
      </w:r>
      <w:r>
        <w:t xml:space="preserve">ment with warfarin and TMP/SMX is still considered an effective management option for VTE/UTI comorbidity, </w:t>
      </w:r>
      <w:r w:rsidRPr="00D42456">
        <w:rPr>
          <w:highlight w:val="yellow"/>
        </w:rPr>
        <w:t>as long as the risk of bleeding, as indicated by the International Normalized Ratio (INR), is carefully monitored</w:t>
      </w:r>
      <w:r w:rsidRPr="00D42456">
        <w:rPr>
          <w:highlight w:val="yellow"/>
          <w:vertAlign w:val="superscript"/>
        </w:rPr>
        <w:t>2</w:t>
      </w:r>
      <w:r w:rsidRPr="00D42456">
        <w:rPr>
          <w:highlight w:val="yellow"/>
        </w:rPr>
        <w:t>. When the risk of bleeding increas</w:t>
      </w:r>
      <w:r w:rsidRPr="00D42456">
        <w:rPr>
          <w:highlight w:val="yellow"/>
        </w:rPr>
        <w:t>es, the warfarin dose has to be reduced to compensate; once INR values return to normal, the original warfarin dose should be reinstated.</w:t>
      </w:r>
    </w:p>
    <w:p w14:paraId="00000006" w14:textId="77777777" w:rsidR="003C32DA" w:rsidRDefault="005212D6">
      <w:bookmarkStart w:id="1" w:name="_heading=h.30j0zll" w:colFirst="0" w:colLast="0"/>
      <w:bookmarkEnd w:id="1"/>
      <w:r>
        <w:rPr>
          <w:b/>
        </w:rPr>
        <w:t>Patient case</w:t>
      </w:r>
      <w:r>
        <w:t>: Sixty-seven-year-old female on a long-term anticoagulation therapy (warfarin due to financial considerat</w:t>
      </w:r>
      <w:r>
        <w:t xml:space="preserve">ions) because of recurrent VTE. </w:t>
      </w:r>
    </w:p>
    <w:p w14:paraId="00000007" w14:textId="77777777" w:rsidR="003C32DA" w:rsidRDefault="005212D6">
      <w:r>
        <w:rPr>
          <w:b/>
        </w:rPr>
        <w:t>Current problem</w:t>
      </w:r>
      <w:r>
        <w:t>: Recurrent VTE</w:t>
      </w:r>
    </w:p>
    <w:p w14:paraId="00000008" w14:textId="77777777" w:rsidR="003C32DA" w:rsidRDefault="005212D6">
      <w:r>
        <w:rPr>
          <w:b/>
        </w:rPr>
        <w:t>Current medication</w:t>
      </w:r>
      <w:r>
        <w:t>: warfarin (5mg/day)</w:t>
      </w:r>
    </w:p>
    <w:p w14:paraId="00000009" w14:textId="77777777" w:rsidR="003C32DA" w:rsidRDefault="005212D6">
      <w:r>
        <w:rPr>
          <w:b/>
        </w:rPr>
        <w:t>New problem</w:t>
      </w:r>
      <w:r>
        <w:t>: UTI</w:t>
      </w:r>
    </w:p>
    <w:p w14:paraId="0000000A" w14:textId="77777777" w:rsidR="003C32DA" w:rsidRDefault="005212D6">
      <w:pPr>
        <w:jc w:val="both"/>
      </w:pPr>
      <w:r>
        <w:rPr>
          <w:b/>
        </w:rPr>
        <w:t>Management scenario</w:t>
      </w:r>
      <w:r>
        <w:t>: Patient presents with the symptoms of a strong and persistent urge to frequently urinate and describes experiencing</w:t>
      </w:r>
      <w:r>
        <w:t xml:space="preserve"> burning sensation when urinating. A preliminary </w:t>
      </w:r>
      <w:r>
        <w:rPr>
          <w:u w:val="single"/>
        </w:rPr>
        <w:t>diagnosis of the cystitis UTI is confirmed</w:t>
      </w:r>
      <w:r>
        <w:t xml:space="preserve"> by lab results. Considering that for last episode of the UTI, she was prescribed TMP/SMX (Bactrim, 1 double-strength tablet orally, twice daily for at least </w:t>
      </w:r>
      <w:r>
        <w:lastRenderedPageBreak/>
        <w:t>3 days)</w:t>
      </w:r>
      <w:r>
        <w:t xml:space="preserve"> and it was well-tolerated, similar treatment for current episode of the cystitis UTI was followed</w:t>
      </w:r>
      <w:r>
        <w:rPr>
          <w:vertAlign w:val="superscript"/>
        </w:rPr>
        <w:footnoteReference w:id="5"/>
      </w:r>
      <w:r>
        <w:t>.</w:t>
      </w:r>
    </w:p>
    <w:p w14:paraId="0000000B" w14:textId="77777777" w:rsidR="003C32DA" w:rsidRDefault="005212D6">
      <w:pPr>
        <w:jc w:val="both"/>
      </w:pPr>
      <w:r>
        <w:rPr>
          <w:b/>
        </w:rPr>
        <w:t>Adverse interactions and revisions</w:t>
      </w:r>
      <w:r>
        <w:t xml:space="preserve">: </w:t>
      </w:r>
      <w:r w:rsidRPr="00D42456">
        <w:rPr>
          <w:highlight w:val="yellow"/>
        </w:rPr>
        <w:t>Because of the interactions between warfarin and TMP/SMX, a pre-emptive reduction of 10% of warfarin dosage is recommen</w:t>
      </w:r>
      <w:r w:rsidRPr="00D42456">
        <w:rPr>
          <w:highlight w:val="yellow"/>
        </w:rPr>
        <w:t>ded</w:t>
      </w:r>
      <w:r w:rsidRPr="00D42456">
        <w:rPr>
          <w:highlight w:val="yellow"/>
          <w:vertAlign w:val="superscript"/>
        </w:rPr>
        <w:footnoteReference w:id="6"/>
      </w:r>
      <w:r w:rsidRPr="00D42456">
        <w:rPr>
          <w:highlight w:val="yellow"/>
        </w:rPr>
        <w:t>.  Considering her total weekly warfarin dose is 35 mg, her reduced daily dose becomes 4.5 mg per day (calculated as (35 – 3.5)/7 = 4.5).</w:t>
      </w:r>
      <w:r>
        <w:t xml:space="preserve"> </w:t>
      </w:r>
    </w:p>
    <w:p w14:paraId="0000000C" w14:textId="77777777" w:rsidR="003C32DA" w:rsidRDefault="005212D6">
      <w:pPr>
        <w:jc w:val="both"/>
      </w:pPr>
      <w:r w:rsidRPr="00517C95">
        <w:rPr>
          <w:highlight w:val="yellow"/>
        </w:rPr>
        <w:t>Beginning on day 3 of therapy, INRs should be measured daily and warfarin doses adjusted to achieve an INR &gt;= 2.0</w:t>
      </w:r>
      <w:r w:rsidRPr="00517C95">
        <w:rPr>
          <w:highlight w:val="yellow"/>
        </w:rPr>
        <w:t xml:space="preserve"> as soon after day 5 of overlapping therapy as possible</w:t>
      </w:r>
      <w:r w:rsidRPr="00517C95">
        <w:rPr>
          <w:highlight w:val="yellow"/>
          <w:vertAlign w:val="superscript"/>
        </w:rPr>
        <w:footnoteReference w:id="7"/>
      </w:r>
      <w:r w:rsidRPr="00517C95">
        <w:rPr>
          <w:highlight w:val="yellow"/>
        </w:rPr>
        <w:t>.</w:t>
      </w:r>
      <w:bookmarkStart w:id="2" w:name="_GoBack"/>
      <w:bookmarkEnd w:id="2"/>
    </w:p>
    <w:p w14:paraId="0000000D" w14:textId="77777777" w:rsidR="003C32DA" w:rsidRDefault="005212D6">
      <w:pPr>
        <w:jc w:val="both"/>
      </w:pPr>
      <w:r>
        <w:rPr>
          <w:b/>
        </w:rPr>
        <w:t>Revised treatment for VTE and UTI</w:t>
      </w:r>
      <w:r>
        <w:t xml:space="preserve">: warfarin (4.5mg/day), </w:t>
      </w:r>
      <w:proofErr w:type="spellStart"/>
      <w:r>
        <w:t>bactrim</w:t>
      </w:r>
      <w:proofErr w:type="spellEnd"/>
      <w:r>
        <w:t xml:space="preserve"> (2 double-strength tablet/day for at least 3 days). Re-evaluate starting on day 3 of overlapping therapy depending on the INR value.</w:t>
      </w:r>
    </w:p>
    <w:p w14:paraId="0000000E" w14:textId="77777777" w:rsidR="003C32DA" w:rsidRDefault="003C32DA">
      <w:pPr>
        <w:jc w:val="both"/>
      </w:pPr>
      <w:bookmarkStart w:id="3" w:name="_heading=h.3znysh7" w:colFirst="0" w:colLast="0"/>
      <w:bookmarkEnd w:id="3"/>
    </w:p>
    <w:sectPr w:rsidR="003C32DA">
      <w:headerReference w:type="even" r:id="rId9"/>
      <w:headerReference w:type="default" r:id="rId10"/>
      <w:pgSz w:w="12240" w:h="15840"/>
      <w:pgMar w:top="1440" w:right="1440" w:bottom="1440" w:left="1298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r" w:date="2021-09-27T17:25:00Z" w:initials="M">
    <w:p w14:paraId="192CAA8B" w14:textId="7B74A59F" w:rsidR="00F36724" w:rsidRDefault="00F36724">
      <w:pPr>
        <w:pStyle w:val="CommentText"/>
      </w:pPr>
      <w:r>
        <w:rPr>
          <w:rStyle w:val="CommentReference"/>
        </w:rPr>
        <w:annotationRef/>
      </w:r>
      <w:r>
        <w:t>Without the bacteria (that die of the antibiotics), warfarin is not metabolized as quickly so it is more potent and less of it is required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2CAA8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98907" w14:textId="77777777" w:rsidR="005212D6" w:rsidRDefault="005212D6">
      <w:pPr>
        <w:spacing w:after="0"/>
      </w:pPr>
      <w:r>
        <w:separator/>
      </w:r>
    </w:p>
  </w:endnote>
  <w:endnote w:type="continuationSeparator" w:id="0">
    <w:p w14:paraId="75C62720" w14:textId="77777777" w:rsidR="005212D6" w:rsidRDefault="005212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30B3E" w14:textId="77777777" w:rsidR="005212D6" w:rsidRDefault="005212D6">
      <w:pPr>
        <w:spacing w:after="0"/>
      </w:pPr>
      <w:r>
        <w:separator/>
      </w:r>
    </w:p>
  </w:footnote>
  <w:footnote w:type="continuationSeparator" w:id="0">
    <w:p w14:paraId="4ED95422" w14:textId="77777777" w:rsidR="005212D6" w:rsidRDefault="005212D6">
      <w:pPr>
        <w:spacing w:after="0"/>
      </w:pPr>
      <w:r>
        <w:continuationSeparator/>
      </w:r>
    </w:p>
  </w:footnote>
  <w:footnote w:id="1">
    <w:p w14:paraId="00000017" w14:textId="77777777" w:rsidR="003C32DA" w:rsidRDefault="005212D6">
      <w:pPr>
        <w:spacing w:after="0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Wells, G. et al. Direct Oral Anticoagulants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The Treatment Of Venous Thromboembolic Events. University of Ottawa.</w:t>
      </w:r>
      <w:r>
        <w:rPr>
          <w:sz w:val="20"/>
          <w:szCs w:val="20"/>
        </w:rPr>
        <w:t xml:space="preserve"> 2016. See p. 9, highlighted.</w:t>
      </w:r>
    </w:p>
  </w:footnote>
  <w:footnote w:id="2">
    <w:p w14:paraId="00000018" w14:textId="77777777" w:rsidR="003C32DA" w:rsidRDefault="005212D6">
      <w:pPr>
        <w:spacing w:before="200" w:after="0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Witt, D. M. et al. Guidance for the practical management of warfarin therapy in the treatment of venous thromboembolism. J </w:t>
      </w:r>
      <w:proofErr w:type="spellStart"/>
      <w:r>
        <w:rPr>
          <w:sz w:val="20"/>
          <w:szCs w:val="20"/>
        </w:rPr>
        <w:t>Thromb</w:t>
      </w:r>
      <w:proofErr w:type="spellEnd"/>
      <w:r>
        <w:rPr>
          <w:sz w:val="20"/>
          <w:szCs w:val="20"/>
        </w:rPr>
        <w:t xml:space="preserve"> Thrombolysis. </w:t>
      </w:r>
      <w:proofErr w:type="gramStart"/>
      <w:r>
        <w:rPr>
          <w:sz w:val="20"/>
          <w:szCs w:val="20"/>
        </w:rPr>
        <w:t>2016;  41:187</w:t>
      </w:r>
      <w:proofErr w:type="gramEnd"/>
      <w:r>
        <w:rPr>
          <w:sz w:val="20"/>
          <w:szCs w:val="20"/>
        </w:rPr>
        <w:t>–205. See p. 1, p. 3-5 (highlighted).</w:t>
      </w:r>
    </w:p>
  </w:footnote>
  <w:footnote w:id="3">
    <w:p w14:paraId="00000019" w14:textId="77777777" w:rsidR="003C32DA" w:rsidRDefault="005212D6">
      <w:pPr>
        <w:spacing w:before="200" w:after="0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Onysko</w:t>
      </w:r>
      <w:proofErr w:type="spellEnd"/>
      <w:r>
        <w:rPr>
          <w:sz w:val="20"/>
          <w:szCs w:val="20"/>
        </w:rPr>
        <w:t xml:space="preserve"> M, Holcomb N, </w:t>
      </w:r>
      <w:proofErr w:type="spellStart"/>
      <w:r>
        <w:rPr>
          <w:sz w:val="20"/>
          <w:szCs w:val="20"/>
        </w:rPr>
        <w:t>Hornec</w:t>
      </w:r>
      <w:r>
        <w:rPr>
          <w:sz w:val="20"/>
          <w:szCs w:val="20"/>
        </w:rPr>
        <w:t>ker</w:t>
      </w:r>
      <w:proofErr w:type="spellEnd"/>
      <w:r>
        <w:rPr>
          <w:sz w:val="20"/>
          <w:szCs w:val="20"/>
        </w:rPr>
        <w:t xml:space="preserve"> J. Antibiotic interactions: Answers to 4 common questions. The Journal of Family Practice. 2016; 65(7): 442-448. See p. 1, 2 (highlighted)</w:t>
      </w:r>
    </w:p>
  </w:footnote>
  <w:footnote w:id="4">
    <w:p w14:paraId="0000000F" w14:textId="77777777" w:rsidR="003C32DA" w:rsidRDefault="005212D6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Fischer HD</w:t>
      </w:r>
      <w:r>
        <w:rPr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 Hemorrhage during warfarin therapy associated with </w:t>
      </w:r>
      <w:proofErr w:type="spellStart"/>
      <w:r>
        <w:rPr>
          <w:color w:val="000000"/>
          <w:sz w:val="20"/>
          <w:szCs w:val="20"/>
        </w:rPr>
        <w:t>cotrimoxazole</w:t>
      </w:r>
      <w:proofErr w:type="spellEnd"/>
      <w:r>
        <w:rPr>
          <w:color w:val="000000"/>
          <w:sz w:val="20"/>
          <w:szCs w:val="20"/>
        </w:rPr>
        <w:t xml:space="preserve"> and other urinary tract anti-infective agents. Archives of Internal Medicine. </w:t>
      </w:r>
      <w:proofErr w:type="gramStart"/>
      <w:r>
        <w:rPr>
          <w:color w:val="000000"/>
          <w:sz w:val="20"/>
          <w:szCs w:val="20"/>
        </w:rPr>
        <w:t>2010;170:617</w:t>
      </w:r>
      <w:proofErr w:type="gramEnd"/>
      <w:r>
        <w:rPr>
          <w:color w:val="000000"/>
          <w:sz w:val="20"/>
          <w:szCs w:val="20"/>
        </w:rPr>
        <w:t>–21.</w:t>
      </w:r>
      <w:r>
        <w:rPr>
          <w:sz w:val="20"/>
          <w:szCs w:val="20"/>
        </w:rPr>
        <w:t xml:space="preserve"> See p. 1 (highlighted)</w:t>
      </w:r>
    </w:p>
  </w:footnote>
  <w:footnote w:id="5">
    <w:p w14:paraId="00000010" w14:textId="77777777" w:rsidR="003C32DA" w:rsidRDefault="005212D6">
      <w:pPr>
        <w:spacing w:before="120" w:after="200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International Clinical Practice Guidelines for the Treatment of Acute</w:t>
      </w:r>
      <w:r>
        <w:rPr>
          <w:sz w:val="20"/>
          <w:szCs w:val="20"/>
        </w:rPr>
        <w:t xml:space="preserve"> Uncomplicated Cystitis and Pyelonephritis in Women, p. 3 (highlighted)</w:t>
      </w:r>
    </w:p>
  </w:footnote>
  <w:footnote w:id="6">
    <w:p w14:paraId="00000011" w14:textId="77777777" w:rsidR="003C32DA" w:rsidRDefault="005212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Ahmed A, Stephens JC, </w:t>
      </w:r>
      <w:proofErr w:type="spellStart"/>
      <w:r>
        <w:rPr>
          <w:color w:val="000000"/>
          <w:sz w:val="20"/>
          <w:szCs w:val="20"/>
        </w:rPr>
        <w:t>Kaus</w:t>
      </w:r>
      <w:proofErr w:type="spellEnd"/>
      <w:r>
        <w:rPr>
          <w:color w:val="000000"/>
          <w:sz w:val="20"/>
          <w:szCs w:val="20"/>
        </w:rPr>
        <w:t xml:space="preserve"> CA, et al. Impact of </w:t>
      </w:r>
      <w:proofErr w:type="spellStart"/>
      <w:r>
        <w:rPr>
          <w:color w:val="000000"/>
          <w:sz w:val="20"/>
          <w:szCs w:val="20"/>
        </w:rPr>
        <w:t>preemptive</w:t>
      </w:r>
      <w:proofErr w:type="spellEnd"/>
      <w:r>
        <w:rPr>
          <w:color w:val="000000"/>
          <w:sz w:val="20"/>
          <w:szCs w:val="20"/>
        </w:rPr>
        <w:t xml:space="preserve"> warfarin dose reduction on anticoagulation after initiation of trimethoprim-sulfamethoxazole or levofloxacin. Journal of Thrombosis and Thrombolysis. </w:t>
      </w:r>
      <w:proofErr w:type="gramStart"/>
      <w:r>
        <w:rPr>
          <w:color w:val="000000"/>
          <w:sz w:val="20"/>
          <w:szCs w:val="20"/>
        </w:rPr>
        <w:t>2008;26:44</w:t>
      </w:r>
      <w:proofErr w:type="gramEnd"/>
      <w:r>
        <w:rPr>
          <w:color w:val="000000"/>
          <w:sz w:val="20"/>
          <w:szCs w:val="20"/>
        </w:rPr>
        <w:t>-48. See p.</w:t>
      </w:r>
      <w:r>
        <w:rPr>
          <w:sz w:val="20"/>
          <w:szCs w:val="20"/>
        </w:rPr>
        <w:t xml:space="preserve"> 1 (highlighted)</w:t>
      </w:r>
    </w:p>
  </w:footnote>
  <w:footnote w:id="7">
    <w:p w14:paraId="00000012" w14:textId="77777777" w:rsidR="003C32DA" w:rsidRDefault="005212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Witt, </w:t>
      </w:r>
      <w:r>
        <w:rPr>
          <w:sz w:val="20"/>
          <w:szCs w:val="20"/>
        </w:rPr>
        <w:t xml:space="preserve">D. M. et al. Guidance for the practical management of warfarin therapy. J </w:t>
      </w:r>
      <w:proofErr w:type="spellStart"/>
      <w:r>
        <w:rPr>
          <w:sz w:val="20"/>
          <w:szCs w:val="20"/>
        </w:rPr>
        <w:t>Thromb</w:t>
      </w:r>
      <w:proofErr w:type="spellEnd"/>
      <w:r>
        <w:rPr>
          <w:sz w:val="20"/>
          <w:szCs w:val="20"/>
        </w:rPr>
        <w:t xml:space="preserve"> Thrombolysis. </w:t>
      </w:r>
      <w:proofErr w:type="gramStart"/>
      <w:r>
        <w:rPr>
          <w:sz w:val="20"/>
          <w:szCs w:val="20"/>
        </w:rPr>
        <w:t>2016;  41:187</w:t>
      </w:r>
      <w:proofErr w:type="gramEnd"/>
      <w:r>
        <w:rPr>
          <w:sz w:val="20"/>
          <w:szCs w:val="20"/>
        </w:rPr>
        <w:t>–205. See p. 5 (highlighted).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3C32DA" w:rsidRDefault="005212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16" w14:textId="77777777" w:rsidR="003C32DA" w:rsidRDefault="003C32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4CE4E310" w:rsidR="003C32DA" w:rsidRDefault="005212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36724">
      <w:rPr>
        <w:color w:val="000000"/>
      </w:rPr>
      <w:fldChar w:fldCharType="separate"/>
    </w:r>
    <w:r w:rsidR="00517C95">
      <w:rPr>
        <w:noProof/>
        <w:color w:val="000000"/>
      </w:rPr>
      <w:t>2</w:t>
    </w:r>
    <w:r>
      <w:rPr>
        <w:color w:val="000000"/>
      </w:rPr>
      <w:fldChar w:fldCharType="end"/>
    </w:r>
  </w:p>
  <w:p w14:paraId="00000014" w14:textId="77777777" w:rsidR="003C32DA" w:rsidRDefault="003C32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r">
    <w15:presenceInfo w15:providerId="Windows Live" w15:userId="313a8483f80793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DA"/>
    <w:rsid w:val="003C32DA"/>
    <w:rsid w:val="00517C95"/>
    <w:rsid w:val="005212D6"/>
    <w:rsid w:val="00D42456"/>
    <w:rsid w:val="00F3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FCE4"/>
  <w15:docId w15:val="{16D35682-A0C2-406A-9AD6-A6577751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he-I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B50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B50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49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39C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39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39CD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0106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01063"/>
  </w:style>
  <w:style w:type="paragraph" w:styleId="Header">
    <w:name w:val="header"/>
    <w:basedOn w:val="Normal"/>
    <w:link w:val="HeaderChar"/>
    <w:uiPriority w:val="99"/>
    <w:unhideWhenUsed/>
    <w:rsid w:val="00C0106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01063"/>
  </w:style>
  <w:style w:type="character" w:customStyle="1" w:styleId="il">
    <w:name w:val="il"/>
    <w:basedOn w:val="DefaultParagraphFont"/>
    <w:rsid w:val="00A8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fHInFxSmOgxrJUfMS9QoeadjYw==">AMUW2mVyEDRJS1x07lM5J5xGwwhxzsVRvXC6spU9x8KwrT44KDM5pl1wXzeA3AuLX+CYCCPremCKjqdNIvxE6xDptr1uhYwixIDmIezedG4+OiRRWYBeOehibM2ttaYsPF9APUlxfMnjHG3VRAPqj3FqgYVdiPnzx3eyZ3N8Wv+QwPdAmsfwg4dh2wvSeTMxx/VdI99WdG7Upk8yDllGmQQzbf3bIIPkgpwVf4fO93YjoBfEpeb2Dyo=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510</Words>
  <Characters>2550</Characters>
  <Application>Microsoft Office Word</Application>
  <DocSecurity>0</DocSecurity>
  <Lines>21</Lines>
  <Paragraphs>6</Paragraphs>
  <ScaleCrop>false</ScaleCrop>
  <Company>HP Inc.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</dc:creator>
  <cp:lastModifiedBy>Mor</cp:lastModifiedBy>
  <cp:revision>5</cp:revision>
  <dcterms:created xsi:type="dcterms:W3CDTF">2021-03-22T16:09:00Z</dcterms:created>
  <dcterms:modified xsi:type="dcterms:W3CDTF">2021-09-27T14:31:00Z</dcterms:modified>
</cp:coreProperties>
</file>