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Commit：2631fa687153c53245e25f3d2790fb5b26ac4321</w:t>
      </w:r>
    </w:p>
    <w:p>
      <w:r>
        <w:t>產生時間：2026-09-07 14:06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重試具備指數退避、最大嘗試次數與不可重試錯誤的 fail-closed 邊界；</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installer/package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3 stores local collection status and remote revision, watched episode rows, manual local-to-Bangumi subject mappings and </w:t>
      </w:r>
      <w:r>
        <w:rPr>
          <w:rFonts w:ascii="Consolas" w:hAnsi="Consolas" w:eastAsia="Consolas"/>
          <w:sz w:val="18"/>
        </w:rPr>
        <w:t>BangumiSyncOperation</w:t>
      </w:r>
      <w:r>
        <w:t xml:space="preserve"> rows. The sync service updates local state immediately for offline use, then persists a queued operation. Queue recovery selects only queued or due retryable failures below the configured attempt limit. Authorization, malformed payload, unsupported HTTP and exhausted retry failures remain visible rather than being silently retried forever. Remote revision conflicts remain visible and can be resolved by applying the remote state or by requeueing the local mutation against the newly fetched revision.</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 review remains disabled without a proposal, and no UI state represents a successful remote response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1.0.11</w:t>
      </w:r>
      <w:r>
        <w:t xml:space="preserve">.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memory-only OAuth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and access tokens remain memory-only. Local collection status and watched episodes are updated immediately, while a Drift-backed </w:t>
      </w:r>
      <w:r>
        <w:rPr>
          <w:rFonts w:ascii="Consolas" w:hAnsi="Consolas" w:eastAsia="Consolas"/>
          <w:sz w:val="18"/>
        </w:rPr>
        <w:t>BangumiSyncOperation</w:t>
      </w:r>
      <w:r>
        <w:t xml:space="preserve"> records the exact mutation, base remote revision, retry state and conflict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Response size, episode page size, retries and exponential backoff are bounded. Authorization, malformed payload, exhausted retry and remote-revision failures remain visible. Conflict resolution either applies the fetched remote state or requeues the local mutation against the fetched revision. Tokens, client secrets, cookies and raw response text are excluded from persistence and diagnostics. No live OAuth account or upstream success is inferred from fixture tests.</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