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FC4" w:rsidRPr="009C107B" w:rsidRDefault="00794FC4">
      <w:pPr>
        <w:snapToGrid w:val="0"/>
        <w:spacing w:after="0" w:line="360" w:lineRule="auto"/>
        <w:jc w:val="center"/>
        <w:rPr>
          <w:rFonts w:asciiTheme="minorEastAsia" w:hAnsiTheme="minorEastAsia" w:cs="Times New Roman"/>
          <w:b/>
          <w:kern w:val="0"/>
          <w:sz w:val="24"/>
          <w:szCs w:val="24"/>
          <w:lang w:val="en-GB" w:eastAsia="zh-TW"/>
        </w:rPr>
      </w:pPr>
    </w:p>
    <w:p w:rsidR="00E81887" w:rsidRPr="009C107B" w:rsidRDefault="001E7D33">
      <w:pPr>
        <w:snapToGrid w:val="0"/>
        <w:spacing w:after="0" w:line="360" w:lineRule="auto"/>
        <w:jc w:val="center"/>
        <w:rPr>
          <w:rFonts w:asciiTheme="minorEastAsia" w:hAnsiTheme="minorEastAsia" w:cs="Times New Roman"/>
          <w:b/>
          <w:kern w:val="0"/>
          <w:sz w:val="36"/>
          <w:szCs w:val="36"/>
          <w:lang w:val="en-GB" w:eastAsia="zh-TW"/>
        </w:rPr>
      </w:pPr>
      <w:r w:rsidRPr="009C107B">
        <w:rPr>
          <w:rFonts w:asciiTheme="minorEastAsia" w:hAnsiTheme="minorEastAsia" w:cs="Times New Roman" w:hint="eastAsia"/>
          <w:b/>
          <w:kern w:val="0"/>
          <w:sz w:val="36"/>
          <w:szCs w:val="36"/>
          <w:lang w:val="en-GB" w:eastAsia="zh-TW"/>
        </w:rPr>
        <w:t>淺談澳門特區在</w:t>
      </w:r>
      <w:r w:rsidRPr="009C107B">
        <w:rPr>
          <w:rFonts w:asciiTheme="minorEastAsia" w:hAnsiTheme="minorEastAsia" w:cs="Times New Roman"/>
          <w:b/>
          <w:kern w:val="0"/>
          <w:sz w:val="36"/>
          <w:szCs w:val="36"/>
          <w:lang w:val="en-GB" w:eastAsia="zh-TW"/>
        </w:rPr>
        <w:t>“</w:t>
      </w:r>
      <w:r w:rsidRPr="009C107B">
        <w:rPr>
          <w:rFonts w:asciiTheme="minorEastAsia" w:hAnsiTheme="minorEastAsia" w:cs="Times New Roman" w:hint="eastAsia"/>
          <w:b/>
          <w:kern w:val="0"/>
          <w:sz w:val="36"/>
          <w:szCs w:val="36"/>
          <w:lang w:val="en-GB" w:eastAsia="zh-TW"/>
        </w:rPr>
        <w:t>一帶一路</w:t>
      </w:r>
      <w:r w:rsidRPr="009C107B">
        <w:rPr>
          <w:rFonts w:asciiTheme="minorEastAsia" w:hAnsiTheme="minorEastAsia" w:cs="Times New Roman"/>
          <w:b/>
          <w:kern w:val="0"/>
          <w:sz w:val="36"/>
          <w:szCs w:val="36"/>
          <w:lang w:val="en-GB" w:eastAsia="zh-TW"/>
        </w:rPr>
        <w:t>”</w:t>
      </w:r>
      <w:r w:rsidRPr="009C107B">
        <w:rPr>
          <w:rFonts w:asciiTheme="minorEastAsia" w:hAnsiTheme="minorEastAsia" w:cs="Times New Roman" w:hint="eastAsia"/>
          <w:b/>
          <w:kern w:val="0"/>
          <w:sz w:val="36"/>
          <w:szCs w:val="36"/>
          <w:lang w:val="en-GB" w:eastAsia="zh-TW"/>
        </w:rPr>
        <w:t>中葡雙語人才的機遇</w:t>
      </w:r>
    </w:p>
    <w:p w:rsidR="00794FC4" w:rsidRPr="009C107B" w:rsidRDefault="00794FC4">
      <w:pPr>
        <w:snapToGrid w:val="0"/>
        <w:spacing w:after="0" w:line="360" w:lineRule="auto"/>
        <w:jc w:val="center"/>
        <w:rPr>
          <w:rFonts w:asciiTheme="minorEastAsia" w:hAnsiTheme="minorEastAsia" w:cs="Times New Roman"/>
          <w:b/>
          <w:kern w:val="0"/>
          <w:sz w:val="24"/>
          <w:szCs w:val="24"/>
          <w:lang w:val="en-GB" w:eastAsia="zh-TW"/>
        </w:rPr>
      </w:pPr>
    </w:p>
    <w:p w:rsidR="00E81887" w:rsidRPr="009C107B" w:rsidRDefault="001E7D33">
      <w:pPr>
        <w:snapToGrid w:val="0"/>
        <w:spacing w:after="0" w:line="360" w:lineRule="auto"/>
        <w:jc w:val="center"/>
        <w:rPr>
          <w:rFonts w:asciiTheme="minorEastAsia" w:hAnsiTheme="minorEastAsia" w:cs="Times New Roman"/>
          <w:color w:val="000000"/>
          <w:kern w:val="0"/>
          <w:sz w:val="28"/>
          <w:szCs w:val="28"/>
          <w:lang w:eastAsia="zh-TW"/>
        </w:rPr>
      </w:pPr>
      <w:r w:rsidRPr="009C107B">
        <w:rPr>
          <w:rFonts w:asciiTheme="minorEastAsia" w:hAnsiTheme="minorEastAsia" w:cs="Times New Roman"/>
          <w:b/>
          <w:color w:val="000000"/>
          <w:kern w:val="0"/>
          <w:sz w:val="28"/>
          <w:szCs w:val="28"/>
          <w:lang w:eastAsia="zh-TW"/>
        </w:rPr>
        <w:t>李曉閔</w:t>
      </w:r>
    </w:p>
    <w:p w:rsidR="009C107B" w:rsidRPr="009C107B" w:rsidRDefault="001E7D33">
      <w:pPr>
        <w:snapToGrid w:val="0"/>
        <w:spacing w:after="0" w:line="360" w:lineRule="auto"/>
        <w:jc w:val="center"/>
        <w:rPr>
          <w:rFonts w:asciiTheme="minorEastAsia" w:hAnsiTheme="minorEastAsia"/>
          <w:sz w:val="24"/>
          <w:szCs w:val="24"/>
          <w:lang w:eastAsia="zh-TW"/>
        </w:rPr>
      </w:pPr>
      <w:r w:rsidRPr="009C107B">
        <w:rPr>
          <w:rFonts w:asciiTheme="minorEastAsia" w:hAnsiTheme="minorEastAsia"/>
          <w:sz w:val="24"/>
          <w:szCs w:val="24"/>
          <w:lang w:eastAsia="zh-TW"/>
        </w:rPr>
        <w:t>澳門理工學院</w:t>
      </w:r>
    </w:p>
    <w:p w:rsidR="00794FC4" w:rsidRPr="009C107B" w:rsidRDefault="001E7D33">
      <w:pPr>
        <w:snapToGrid w:val="0"/>
        <w:spacing w:after="0" w:line="360" w:lineRule="auto"/>
        <w:jc w:val="center"/>
        <w:rPr>
          <w:rFonts w:asciiTheme="minorEastAsia" w:hAnsiTheme="minorEastAsia"/>
          <w:sz w:val="24"/>
          <w:szCs w:val="24"/>
          <w:lang w:eastAsia="zh-TW"/>
        </w:rPr>
      </w:pPr>
      <w:r w:rsidRPr="009C107B">
        <w:rPr>
          <w:rFonts w:asciiTheme="minorEastAsia" w:hAnsiTheme="minorEastAsia"/>
          <w:sz w:val="24"/>
          <w:szCs w:val="24"/>
          <w:lang w:eastAsia="zh-TW"/>
        </w:rPr>
        <w:t>思路智庫監事</w:t>
      </w:r>
    </w:p>
    <w:p w:rsidR="00E81887" w:rsidRDefault="00E81887">
      <w:pPr>
        <w:snapToGrid w:val="0"/>
        <w:spacing w:after="0" w:line="360" w:lineRule="auto"/>
        <w:jc w:val="center"/>
        <w:rPr>
          <w:rFonts w:asciiTheme="minorEastAsia" w:hAnsiTheme="minorEastAsia" w:cs="Times New Roman"/>
          <w:color w:val="000000"/>
          <w:kern w:val="0"/>
          <w:sz w:val="24"/>
          <w:szCs w:val="24"/>
          <w:lang w:eastAsia="zh-TW"/>
        </w:rPr>
      </w:pPr>
    </w:p>
    <w:p w:rsidR="00E81887" w:rsidRPr="009C107B" w:rsidRDefault="001E7D33" w:rsidP="00BE6B9D">
      <w:pPr>
        <w:snapToGrid w:val="0"/>
        <w:spacing w:beforeLines="50" w:line="360" w:lineRule="auto"/>
        <w:rPr>
          <w:rFonts w:asciiTheme="minorEastAsia" w:hAnsiTheme="minorEastAsia" w:cs="Times New Roman"/>
          <w:b/>
          <w:bCs/>
          <w:sz w:val="28"/>
          <w:szCs w:val="28"/>
          <w:lang w:eastAsia="zh-TW"/>
        </w:rPr>
      </w:pPr>
      <w:r w:rsidRPr="009C107B">
        <w:rPr>
          <w:rFonts w:asciiTheme="minorEastAsia" w:hAnsiTheme="minorEastAsia" w:cs="Times New Roman"/>
          <w:b/>
          <w:bCs/>
          <w:sz w:val="28"/>
          <w:szCs w:val="28"/>
          <w:lang w:eastAsia="zh-TW"/>
        </w:rPr>
        <w:t>摘要</w:t>
      </w:r>
      <w:r w:rsidR="009C107B">
        <w:rPr>
          <w:rFonts w:asciiTheme="minorEastAsia" w:hAnsiTheme="minorEastAsia" w:cs="Times New Roman" w:hint="eastAsia"/>
          <w:b/>
          <w:bCs/>
          <w:sz w:val="28"/>
          <w:szCs w:val="28"/>
          <w:lang w:eastAsia="zh-TW"/>
        </w:rPr>
        <w:t>：</w:t>
      </w:r>
    </w:p>
    <w:p w:rsidR="00E81887" w:rsidRPr="009C107B" w:rsidRDefault="001E7D33" w:rsidP="00BE6B9D">
      <w:pPr>
        <w:snapToGrid w:val="0"/>
        <w:spacing w:beforeLines="50" w:line="360" w:lineRule="auto"/>
        <w:ind w:firstLineChars="236" w:firstLine="566"/>
        <w:rPr>
          <w:rFonts w:asciiTheme="minorEastAsia" w:hAnsiTheme="minorEastAsia" w:cs="Times New Roman"/>
          <w:color w:val="000000"/>
          <w:kern w:val="0"/>
          <w:sz w:val="24"/>
          <w:szCs w:val="24"/>
          <w:lang w:eastAsia="zh-TW"/>
        </w:rPr>
      </w:pPr>
      <w:r w:rsidRPr="009C107B">
        <w:rPr>
          <w:rFonts w:asciiTheme="minorEastAsia" w:hAnsiTheme="minorEastAsia" w:cs="Times New Roman" w:hint="eastAsia"/>
          <w:color w:val="000000"/>
          <w:kern w:val="0"/>
          <w:sz w:val="24"/>
          <w:szCs w:val="24"/>
          <w:lang w:eastAsia="zh-TW"/>
        </w:rPr>
        <w:t>隨著澳門經濟多元化的發展策略，配合</w:t>
      </w:r>
      <w:r w:rsidRPr="009C107B">
        <w:rPr>
          <w:rFonts w:asciiTheme="minorEastAsia" w:hAnsiTheme="minorEastAsia" w:cs="Times New Roman"/>
          <w:color w:val="000000"/>
          <w:kern w:val="0"/>
          <w:sz w:val="24"/>
          <w:szCs w:val="24"/>
          <w:lang w:eastAsia="zh-TW"/>
        </w:rPr>
        <w:t>“</w:t>
      </w:r>
      <w:r w:rsidRPr="009C107B">
        <w:rPr>
          <w:rFonts w:asciiTheme="minorEastAsia" w:hAnsiTheme="minorEastAsia" w:cs="Times New Roman" w:hint="eastAsia"/>
          <w:color w:val="000000"/>
          <w:kern w:val="0"/>
          <w:sz w:val="24"/>
          <w:szCs w:val="24"/>
          <w:lang w:eastAsia="zh-TW"/>
        </w:rPr>
        <w:t>一帶一路”外語教育規劃的倡議，根據澳門特別行政區歷史發展的優勢，中葡雙語人才的培育，自然成為天時、地利、人和的必然選擇。澳門特別行政區特別有土地面積較</w:t>
      </w:r>
      <w:r w:rsidRPr="009C107B">
        <w:rPr>
          <w:rFonts w:asciiTheme="minorEastAsia" w:hAnsiTheme="minorEastAsia" w:cs="Times New Roman" w:hint="eastAsia"/>
          <w:color w:val="000000"/>
          <w:kern w:val="0"/>
          <w:sz w:val="24"/>
          <w:szCs w:val="24"/>
          <w:lang w:eastAsia="zh-HK"/>
        </w:rPr>
        <w:t>小</w:t>
      </w:r>
      <w:r w:rsidRPr="009C107B">
        <w:rPr>
          <w:rFonts w:asciiTheme="minorEastAsia" w:hAnsiTheme="minorEastAsia" w:cs="Times New Roman" w:hint="eastAsia"/>
          <w:color w:val="000000"/>
          <w:kern w:val="0"/>
          <w:sz w:val="24"/>
          <w:szCs w:val="24"/>
          <w:lang w:eastAsia="zh-TW"/>
        </w:rPr>
        <w:t>的問題，然</w:t>
      </w:r>
      <w:r w:rsidRPr="009C107B">
        <w:rPr>
          <w:rFonts w:asciiTheme="minorEastAsia" w:hAnsiTheme="minorEastAsia" w:cs="Times New Roman" w:hint="eastAsia"/>
          <w:color w:val="000000"/>
          <w:kern w:val="0"/>
          <w:sz w:val="24"/>
          <w:szCs w:val="24"/>
          <w:lang w:eastAsia="zh-HK"/>
        </w:rPr>
        <w:t>而</w:t>
      </w:r>
      <w:r w:rsidRPr="009C107B">
        <w:rPr>
          <w:rFonts w:asciiTheme="minorEastAsia" w:hAnsiTheme="minorEastAsia" w:cs="Times New Roman" w:hint="eastAsia"/>
          <w:color w:val="000000"/>
          <w:kern w:val="0"/>
          <w:sz w:val="24"/>
          <w:szCs w:val="24"/>
          <w:lang w:eastAsia="zh-TW"/>
        </w:rPr>
        <w:t xml:space="preserve">享有 </w:t>
      </w:r>
      <w:r w:rsidRPr="009C107B">
        <w:rPr>
          <w:rFonts w:asciiTheme="minorEastAsia" w:hAnsiTheme="minorEastAsia" w:cs="Times New Roman"/>
          <w:color w:val="000000"/>
          <w:kern w:val="0"/>
          <w:sz w:val="24"/>
          <w:szCs w:val="24"/>
          <w:lang w:eastAsia="zh-TW"/>
        </w:rPr>
        <w:t>“</w:t>
      </w:r>
      <w:r w:rsidRPr="009C107B">
        <w:rPr>
          <w:rFonts w:asciiTheme="minorEastAsia" w:hAnsiTheme="minorEastAsia" w:cs="Times New Roman" w:hint="eastAsia"/>
          <w:color w:val="000000"/>
          <w:kern w:val="0"/>
          <w:sz w:val="24"/>
          <w:szCs w:val="24"/>
          <w:lang w:eastAsia="zh-TW"/>
        </w:rPr>
        <w:t>一國兩制</w:t>
      </w:r>
      <w:r w:rsidRPr="009C107B">
        <w:rPr>
          <w:rFonts w:asciiTheme="minorEastAsia" w:hAnsiTheme="minorEastAsia" w:cs="Times New Roman"/>
          <w:color w:val="000000"/>
          <w:kern w:val="0"/>
          <w:sz w:val="24"/>
          <w:szCs w:val="24"/>
          <w:lang w:eastAsia="zh-TW"/>
        </w:rPr>
        <w:t>”</w:t>
      </w:r>
      <w:r w:rsidRPr="009C107B">
        <w:rPr>
          <w:rFonts w:asciiTheme="minorEastAsia" w:hAnsiTheme="minorEastAsia" w:cs="Times New Roman" w:hint="eastAsia"/>
          <w:color w:val="000000"/>
          <w:kern w:val="0"/>
          <w:sz w:val="24"/>
          <w:szCs w:val="24"/>
          <w:lang w:eastAsia="zh-TW"/>
        </w:rPr>
        <w:t>的優勢，使得澳門之高等教育的外語教學水平飲譽亞洲。中葡雙語不單應用為澳門特區官方語言</w:t>
      </w:r>
      <w:r w:rsidRPr="009C107B">
        <w:rPr>
          <w:rFonts w:asciiTheme="minorEastAsia" w:hAnsiTheme="minorEastAsia" w:cs="Times New Roman" w:hint="eastAsia"/>
          <w:color w:val="000000"/>
          <w:kern w:val="0"/>
          <w:sz w:val="24"/>
          <w:szCs w:val="24"/>
          <w:lang w:eastAsia="zh-HK"/>
        </w:rPr>
        <w:t>，</w:t>
      </w:r>
      <w:r w:rsidRPr="009C107B">
        <w:rPr>
          <w:rFonts w:asciiTheme="minorEastAsia" w:hAnsiTheme="minorEastAsia" w:cs="Times New Roman" w:hint="eastAsia"/>
          <w:color w:val="000000"/>
          <w:kern w:val="0"/>
          <w:sz w:val="24"/>
          <w:szCs w:val="24"/>
          <w:lang w:eastAsia="zh-TW"/>
        </w:rPr>
        <w:t>亦同時為中國</w:t>
      </w:r>
      <w:r w:rsidRPr="009C107B">
        <w:rPr>
          <w:rFonts w:asciiTheme="minorEastAsia" w:hAnsiTheme="minorEastAsia" w:cs="Times New Roman"/>
          <w:color w:val="000000"/>
          <w:kern w:val="0"/>
          <w:sz w:val="24"/>
          <w:szCs w:val="24"/>
          <w:lang w:eastAsia="zh-TW"/>
        </w:rPr>
        <w:t>-</w:t>
      </w:r>
      <w:r w:rsidRPr="009C107B">
        <w:rPr>
          <w:rFonts w:asciiTheme="minorEastAsia" w:hAnsiTheme="minorEastAsia" w:cs="Times New Roman" w:hint="eastAsia"/>
          <w:color w:val="000000"/>
          <w:kern w:val="0"/>
          <w:sz w:val="24"/>
          <w:szCs w:val="24"/>
          <w:lang w:eastAsia="zh-TW"/>
        </w:rPr>
        <w:t>葡語國家經貿合作論壇在澳門舉行多屆部長級會議，均間接為澳門中葡雙語人才衍生需求的基礎，為“一帶一路”框架下中國與葡語國家經貿合作提供有力的支撐平台。本文就“一帶一路”中的中葡雙語教育規劃及澳門特區的外語人才培育等的機會與挑戰進行探討，希望為澳門特別行政區持續的經濟發展引起大家的進一步討論。</w:t>
      </w:r>
    </w:p>
    <w:p w:rsidR="009C107B" w:rsidRPr="009C107B" w:rsidRDefault="001E7D33" w:rsidP="00BE6B9D">
      <w:pPr>
        <w:snapToGrid w:val="0"/>
        <w:spacing w:beforeLines="50" w:line="360" w:lineRule="auto"/>
        <w:ind w:firstLineChars="236" w:firstLine="567"/>
        <w:rPr>
          <w:rFonts w:asciiTheme="minorEastAsia" w:hAnsiTheme="minorEastAsia" w:cs="Times New Roman"/>
          <w:sz w:val="24"/>
          <w:szCs w:val="24"/>
          <w:lang w:eastAsia="zh-TW"/>
        </w:rPr>
      </w:pPr>
      <w:r w:rsidRPr="009C107B">
        <w:rPr>
          <w:rFonts w:asciiTheme="minorEastAsia" w:hAnsiTheme="minorEastAsia" w:cs="Times New Roman"/>
          <w:b/>
          <w:bCs/>
          <w:sz w:val="24"/>
          <w:szCs w:val="24"/>
          <w:lang w:eastAsia="zh-TW"/>
        </w:rPr>
        <w:t>關鍵</w:t>
      </w:r>
      <w:r w:rsidR="009C107B">
        <w:rPr>
          <w:rFonts w:asciiTheme="minorEastAsia" w:hAnsiTheme="minorEastAsia" w:cs="Times New Roman" w:hint="eastAsia"/>
          <w:b/>
          <w:bCs/>
          <w:sz w:val="24"/>
          <w:szCs w:val="24"/>
          <w:lang w:eastAsia="zh-TW"/>
        </w:rPr>
        <w:t>詞：</w:t>
      </w:r>
      <w:r w:rsidRPr="009C107B">
        <w:rPr>
          <w:rFonts w:asciiTheme="minorEastAsia" w:hAnsiTheme="minorEastAsia" w:cs="Times New Roman" w:hint="eastAsia"/>
          <w:color w:val="000000"/>
          <w:kern w:val="0"/>
          <w:sz w:val="24"/>
          <w:szCs w:val="24"/>
          <w:lang w:eastAsia="zh-TW"/>
        </w:rPr>
        <w:t>一帶一路</w:t>
      </w:r>
      <w:r w:rsidR="00A242C0">
        <w:rPr>
          <w:rFonts w:asciiTheme="minorEastAsia" w:hAnsiTheme="minorEastAsia" w:cs="Times New Roman" w:hint="eastAsia"/>
          <w:color w:val="000000"/>
          <w:kern w:val="0"/>
          <w:sz w:val="24"/>
          <w:szCs w:val="24"/>
          <w:lang w:eastAsia="zh-TW"/>
        </w:rPr>
        <w:t>；</w:t>
      </w:r>
      <w:r w:rsidRPr="009C107B">
        <w:rPr>
          <w:rFonts w:asciiTheme="minorEastAsia" w:hAnsiTheme="minorEastAsia" w:cs="Times New Roman" w:hint="eastAsia"/>
          <w:sz w:val="24"/>
          <w:szCs w:val="24"/>
          <w:lang w:eastAsia="zh-TW"/>
        </w:rPr>
        <w:t>經濟</w:t>
      </w:r>
      <w:r w:rsidR="00A242C0">
        <w:rPr>
          <w:rFonts w:asciiTheme="minorEastAsia" w:hAnsiTheme="minorEastAsia" w:cs="Times New Roman" w:hint="eastAsia"/>
          <w:sz w:val="24"/>
          <w:szCs w:val="24"/>
          <w:lang w:eastAsia="zh-TW"/>
        </w:rPr>
        <w:t>；</w:t>
      </w:r>
      <w:r w:rsidRPr="009C107B">
        <w:rPr>
          <w:rFonts w:asciiTheme="minorEastAsia" w:hAnsiTheme="minorEastAsia" w:cs="Times New Roman" w:hint="eastAsia"/>
          <w:color w:val="000000"/>
          <w:kern w:val="0"/>
          <w:sz w:val="24"/>
          <w:szCs w:val="24"/>
          <w:lang w:eastAsia="zh-TW"/>
        </w:rPr>
        <w:t>外語人才培育</w:t>
      </w:r>
    </w:p>
    <w:p w:rsidR="00E81887" w:rsidRPr="009C107B" w:rsidRDefault="001E7D33" w:rsidP="00BE6B9D">
      <w:pPr>
        <w:pStyle w:val="ListParagraph"/>
        <w:numPr>
          <w:ilvl w:val="0"/>
          <w:numId w:val="3"/>
        </w:numPr>
        <w:adjustRightInd w:val="0"/>
        <w:snapToGrid w:val="0"/>
        <w:spacing w:beforeLines="50" w:afterLines="50" w:line="360" w:lineRule="auto"/>
        <w:ind w:firstLineChars="0"/>
        <w:outlineLvl w:val="0"/>
        <w:rPr>
          <w:rFonts w:asciiTheme="minorEastAsia" w:hAnsiTheme="minorEastAsia" w:cs="Times New Roman"/>
          <w:b/>
          <w:sz w:val="28"/>
          <w:szCs w:val="28"/>
          <w:lang w:eastAsia="zh-TW"/>
        </w:rPr>
      </w:pPr>
      <w:r w:rsidRPr="009C107B">
        <w:rPr>
          <w:rFonts w:asciiTheme="minorEastAsia" w:hAnsiTheme="minorEastAsia" w:cs="Times New Roman"/>
          <w:b/>
          <w:sz w:val="28"/>
          <w:szCs w:val="28"/>
          <w:lang w:eastAsia="zh-TW"/>
        </w:rPr>
        <w:t>概述</w:t>
      </w:r>
    </w:p>
    <w:p w:rsidR="00E81887" w:rsidRPr="009C107B" w:rsidRDefault="001E7D33" w:rsidP="00BE6B9D">
      <w:pPr>
        <w:snapToGrid w:val="0"/>
        <w:spacing w:beforeLines="50" w:afterLines="50" w:line="360" w:lineRule="auto"/>
        <w:ind w:firstLineChars="236" w:firstLine="566"/>
        <w:rPr>
          <w:rFonts w:asciiTheme="minorEastAsia" w:hAnsiTheme="minorEastAsia" w:cs="Times New Roman"/>
          <w:color w:val="000000"/>
          <w:kern w:val="0"/>
          <w:sz w:val="24"/>
          <w:szCs w:val="24"/>
          <w:lang w:eastAsia="zh-TW"/>
        </w:rPr>
      </w:pPr>
      <w:r w:rsidRPr="009C107B">
        <w:rPr>
          <w:rFonts w:asciiTheme="minorEastAsia" w:hAnsiTheme="minorEastAsia" w:cs="Times New Roman" w:hint="eastAsia"/>
          <w:color w:val="000000"/>
          <w:kern w:val="0"/>
          <w:sz w:val="24"/>
          <w:szCs w:val="24"/>
          <w:lang w:eastAsia="zh-TW"/>
        </w:rPr>
        <w:t>澳門特別行政區的優勢主要在</w:t>
      </w:r>
      <w:r w:rsidRPr="009C107B">
        <w:rPr>
          <w:rFonts w:asciiTheme="minorEastAsia" w:hAnsiTheme="minorEastAsia" w:cs="Times New Roman"/>
          <w:color w:val="000000"/>
          <w:kern w:val="0"/>
          <w:sz w:val="24"/>
          <w:szCs w:val="24"/>
          <w:lang w:eastAsia="zh-TW"/>
        </w:rPr>
        <w:t>“一</w:t>
      </w:r>
      <w:r w:rsidRPr="009C107B">
        <w:rPr>
          <w:rFonts w:asciiTheme="minorEastAsia" w:hAnsiTheme="minorEastAsia" w:cs="Times New Roman" w:hint="eastAsia"/>
          <w:color w:val="000000"/>
          <w:kern w:val="0"/>
          <w:sz w:val="24"/>
          <w:szCs w:val="24"/>
          <w:lang w:eastAsia="zh-TW"/>
        </w:rPr>
        <w:t>國兩制</w:t>
      </w:r>
      <w:r w:rsidRPr="009C107B">
        <w:rPr>
          <w:rFonts w:asciiTheme="minorEastAsia" w:hAnsiTheme="minorEastAsia" w:cs="Times New Roman"/>
          <w:color w:val="000000"/>
          <w:kern w:val="0"/>
          <w:sz w:val="24"/>
          <w:szCs w:val="24"/>
          <w:lang w:eastAsia="zh-TW"/>
        </w:rPr>
        <w:t>”和</w:t>
      </w:r>
      <w:r w:rsidRPr="009C107B">
        <w:rPr>
          <w:rFonts w:asciiTheme="minorEastAsia" w:hAnsiTheme="minorEastAsia" w:cs="Times New Roman" w:hint="eastAsia"/>
          <w:color w:val="000000"/>
          <w:kern w:val="0"/>
          <w:sz w:val="24"/>
          <w:szCs w:val="24"/>
          <w:lang w:eastAsia="zh-TW"/>
        </w:rPr>
        <w:t>《</w:t>
      </w:r>
      <w:r w:rsidRPr="009C107B">
        <w:rPr>
          <w:rFonts w:asciiTheme="minorEastAsia" w:hAnsiTheme="minorEastAsia" w:cs="Times New Roman"/>
          <w:color w:val="000000"/>
          <w:kern w:val="0"/>
          <w:sz w:val="24"/>
          <w:szCs w:val="24"/>
          <w:lang w:eastAsia="zh-TW"/>
        </w:rPr>
        <w:t>基本法</w:t>
      </w:r>
      <w:r w:rsidRPr="009C107B">
        <w:rPr>
          <w:rFonts w:asciiTheme="minorEastAsia" w:hAnsiTheme="minorEastAsia" w:cs="Times New Roman" w:hint="eastAsia"/>
          <w:color w:val="000000"/>
          <w:kern w:val="0"/>
          <w:sz w:val="24"/>
          <w:szCs w:val="24"/>
          <w:lang w:eastAsia="zh-TW"/>
        </w:rPr>
        <w:t>》</w:t>
      </w:r>
      <w:r w:rsidRPr="009C107B">
        <w:rPr>
          <w:rFonts w:asciiTheme="minorEastAsia" w:hAnsiTheme="minorEastAsia" w:cs="Times New Roman"/>
          <w:color w:val="000000"/>
          <w:kern w:val="0"/>
          <w:sz w:val="24"/>
          <w:szCs w:val="24"/>
          <w:lang w:eastAsia="zh-TW"/>
        </w:rPr>
        <w:t>在澳</w:t>
      </w:r>
      <w:r w:rsidRPr="009C107B">
        <w:rPr>
          <w:rFonts w:asciiTheme="minorEastAsia" w:hAnsiTheme="minorEastAsia" w:cs="Times New Roman" w:hint="eastAsia"/>
          <w:color w:val="000000"/>
          <w:kern w:val="0"/>
          <w:sz w:val="24"/>
          <w:szCs w:val="24"/>
          <w:lang w:eastAsia="zh-TW"/>
        </w:rPr>
        <w:t>門成功實施。縱觀澳門文化歷史，澳門是一個富有中葡文化和天主教特色的城巿：如土生葡人在社會中的融入、中葡特色的建築。靜觀所見</w:t>
      </w:r>
      <w:r w:rsidRPr="009C107B">
        <w:rPr>
          <w:rFonts w:asciiTheme="minorEastAsia" w:hAnsiTheme="minorEastAsia" w:cs="Times New Roman"/>
          <w:color w:val="000000"/>
          <w:kern w:val="0"/>
          <w:sz w:val="24"/>
          <w:szCs w:val="24"/>
          <w:lang w:eastAsia="zh-TW"/>
        </w:rPr>
        <w:t>，</w:t>
      </w:r>
      <w:r w:rsidRPr="009C107B">
        <w:rPr>
          <w:rFonts w:asciiTheme="minorEastAsia" w:hAnsiTheme="minorEastAsia" w:cs="Times New Roman" w:hint="eastAsia"/>
          <w:color w:val="000000"/>
          <w:kern w:val="0"/>
          <w:sz w:val="24"/>
          <w:szCs w:val="24"/>
          <w:lang w:eastAsia="zh-TW"/>
        </w:rPr>
        <w:t>其四百多年中葡</w:t>
      </w:r>
      <w:r w:rsidRPr="009C107B">
        <w:rPr>
          <w:rFonts w:asciiTheme="minorEastAsia" w:hAnsiTheme="minorEastAsia" w:cs="Times New Roman" w:hint="eastAsia"/>
          <w:color w:val="000000"/>
          <w:kern w:val="0"/>
          <w:sz w:val="24"/>
          <w:szCs w:val="24"/>
          <w:lang w:eastAsia="zh-HK"/>
        </w:rPr>
        <w:t>間</w:t>
      </w:r>
      <w:r w:rsidRPr="009C107B">
        <w:rPr>
          <w:rFonts w:asciiTheme="minorEastAsia" w:hAnsiTheme="minorEastAsia" w:cs="Times New Roman" w:hint="eastAsia"/>
          <w:color w:val="000000"/>
          <w:kern w:val="0"/>
          <w:sz w:val="24"/>
          <w:szCs w:val="24"/>
          <w:lang w:eastAsia="zh-TW"/>
        </w:rPr>
        <w:t>的文化，產生了傳奇性的融合。從經濟角度去看，</w:t>
      </w:r>
      <w:r w:rsidRPr="009C107B">
        <w:rPr>
          <w:rFonts w:asciiTheme="minorEastAsia" w:hAnsiTheme="minorEastAsia" w:cs="Times New Roman" w:hint="eastAsia"/>
          <w:color w:val="000000"/>
          <w:kern w:val="0"/>
          <w:sz w:val="24"/>
          <w:szCs w:val="24"/>
          <w:lang w:eastAsia="zh-HK"/>
        </w:rPr>
        <w:t>澳門特別行政區</w:t>
      </w:r>
      <w:r w:rsidRPr="009C107B">
        <w:rPr>
          <w:rFonts w:asciiTheme="minorEastAsia" w:hAnsiTheme="minorEastAsia" w:cs="Times New Roman" w:hint="eastAsia"/>
          <w:color w:val="000000"/>
          <w:kern w:val="0"/>
          <w:sz w:val="24"/>
          <w:szCs w:val="24"/>
          <w:lang w:eastAsia="zh-TW"/>
        </w:rPr>
        <w:t>回歸祖國二十年的時間，展現出國民生產總值提高、低失業率、公共財政穩健等</w:t>
      </w:r>
      <w:r w:rsidR="00A7552A" w:rsidRPr="009C107B">
        <w:rPr>
          <w:rFonts w:asciiTheme="minorEastAsia" w:hAnsiTheme="minorEastAsia" w:cs="Times New Roman" w:hint="eastAsia"/>
          <w:color w:val="000000"/>
          <w:kern w:val="0"/>
          <w:sz w:val="24"/>
          <w:szCs w:val="24"/>
          <w:lang w:eastAsia="zh-HK"/>
        </w:rPr>
        <w:t>亮</w:t>
      </w:r>
      <w:r w:rsidRPr="009C107B">
        <w:rPr>
          <w:rFonts w:asciiTheme="minorEastAsia" w:hAnsiTheme="minorEastAsia" w:cs="Times New Roman" w:hint="eastAsia"/>
          <w:color w:val="000000"/>
          <w:kern w:val="0"/>
          <w:sz w:val="24"/>
          <w:szCs w:val="24"/>
          <w:lang w:eastAsia="zh-TW"/>
        </w:rPr>
        <w:t>麗的成績單。在探索未來經濟多元化發展的前景，中葡雙語人才的高等教育，對本澳的中葡合作論壇、一帶一路的經貿合作發展，可望作出一點貢獻。例如澳門可以利用與葡語系國家現有較緊密聯繫的網絡關係，部署更深層次的中葡貿易互惠互利商貿平台。</w:t>
      </w:r>
    </w:p>
    <w:p w:rsidR="00E81887" w:rsidRPr="00BE6B9D" w:rsidRDefault="001E7D33" w:rsidP="00BE6B9D">
      <w:pPr>
        <w:spacing w:before="50" w:afterLines="50" w:line="600" w:lineRule="auto"/>
        <w:rPr>
          <w:rFonts w:asciiTheme="minorEastAsia" w:hAnsiTheme="minorEastAsia" w:cs="Times New Roman"/>
          <w:b/>
          <w:kern w:val="0"/>
          <w:sz w:val="24"/>
          <w:szCs w:val="24"/>
          <w:lang w:eastAsia="zh-TW"/>
        </w:rPr>
      </w:pPr>
      <w:bookmarkStart w:id="0" w:name="OLE_LINK2"/>
      <w:bookmarkStart w:id="1" w:name="OLE_LINK1"/>
      <w:r w:rsidRPr="00BE6B9D">
        <w:rPr>
          <w:rFonts w:asciiTheme="minorEastAsia" w:hAnsiTheme="minorEastAsia" w:cs="Times New Roman" w:hint="eastAsia"/>
          <w:b/>
          <w:kern w:val="0"/>
          <w:sz w:val="24"/>
          <w:szCs w:val="24"/>
          <w:lang w:eastAsia="zh-TW"/>
        </w:rPr>
        <w:lastRenderedPageBreak/>
        <w:t>人類命運共同體與葡語的重要性</w:t>
      </w:r>
    </w:p>
    <w:p w:rsidR="00E81887" w:rsidRPr="009C107B" w:rsidRDefault="001E7D33" w:rsidP="00BE6B9D">
      <w:pPr>
        <w:snapToGrid w:val="0"/>
        <w:spacing w:before="50" w:afterLines="50" w:line="360" w:lineRule="auto"/>
        <w:ind w:firstLineChars="200" w:firstLine="480"/>
        <w:rPr>
          <w:rFonts w:asciiTheme="minorEastAsia" w:hAnsiTheme="minorEastAsia" w:cs="Times New Roman"/>
          <w:kern w:val="0"/>
          <w:sz w:val="24"/>
          <w:szCs w:val="24"/>
          <w:lang w:eastAsia="zh-TW"/>
        </w:rPr>
      </w:pPr>
      <w:r w:rsidRPr="009C107B">
        <w:rPr>
          <w:rFonts w:asciiTheme="minorEastAsia" w:hAnsiTheme="minorEastAsia" w:cs="Times New Roman" w:hint="eastAsia"/>
          <w:kern w:val="0"/>
          <w:sz w:val="24"/>
          <w:szCs w:val="24"/>
          <w:lang w:eastAsia="zh-TW"/>
        </w:rPr>
        <w:t>尊敬的國家主席習近平先生所言，世界格局正處在一個加快演變的歷史性進程之中。和平、發展、進步的陽光足以穿透戰爭、貧窮、落後的陰霾。世界多極化進一步發展，新興市場國家和發展中國家崛起已經成為不可阻擋的歷史潮流。經濟全球化、社會信息化極大發展了社會生產力，創造了前所未有的發展機遇，也帶來了需要認真對待的新挑戰。</w:t>
      </w:r>
    </w:p>
    <w:p w:rsidR="00E81887" w:rsidRPr="009C107B" w:rsidRDefault="001E7D33" w:rsidP="00BE6B9D">
      <w:pPr>
        <w:snapToGrid w:val="0"/>
        <w:spacing w:before="50" w:afterLines="50" w:line="360" w:lineRule="auto"/>
        <w:ind w:firstLineChars="200" w:firstLine="480"/>
        <w:rPr>
          <w:rFonts w:asciiTheme="minorEastAsia" w:hAnsiTheme="minorEastAsia" w:cs="Times New Roman"/>
          <w:kern w:val="0"/>
          <w:sz w:val="24"/>
          <w:szCs w:val="24"/>
          <w:lang w:eastAsia="zh-TW"/>
        </w:rPr>
      </w:pPr>
      <w:r w:rsidRPr="009C107B">
        <w:rPr>
          <w:rFonts w:asciiTheme="minorEastAsia" w:hAnsiTheme="minorEastAsia" w:cs="Times New Roman" w:hint="eastAsia"/>
          <w:kern w:val="0"/>
          <w:sz w:val="24"/>
          <w:szCs w:val="24"/>
          <w:lang w:eastAsia="zh-TW"/>
        </w:rPr>
        <w:t>“大道之行也，天下為公</w:t>
      </w:r>
      <w:r w:rsidR="00A7552A" w:rsidRPr="009C107B">
        <w:rPr>
          <w:rFonts w:asciiTheme="minorEastAsia" w:hAnsiTheme="minorEastAsia" w:cs="Times New Roman" w:hint="eastAsia"/>
          <w:kern w:val="0"/>
          <w:sz w:val="24"/>
          <w:szCs w:val="24"/>
          <w:lang w:eastAsia="zh-TW"/>
        </w:rPr>
        <w:t>。</w:t>
      </w:r>
      <w:r w:rsidRPr="009C107B">
        <w:rPr>
          <w:rFonts w:asciiTheme="minorEastAsia" w:hAnsiTheme="minorEastAsia" w:cs="Times New Roman" w:hint="eastAsia"/>
          <w:kern w:val="0"/>
          <w:sz w:val="24"/>
          <w:szCs w:val="24"/>
          <w:lang w:eastAsia="zh-TW"/>
        </w:rPr>
        <w:t>和平、發展、公平、正義、民主、自由，是全人類的共同價值，也是聯合國的祟高目標。目標遠未完成，我們仍須努力。當今世界，各國相互依存。我們要繼承和弘揚聯合國憲章的宗旨和原則，構建以合作共贏為核心的新型國際關係，打造人類命運共同體。”</w:t>
      </w:r>
      <w:r w:rsidRPr="009C107B">
        <w:rPr>
          <w:rStyle w:val="FootnoteReference"/>
          <w:rFonts w:asciiTheme="minorEastAsia" w:hAnsiTheme="minorEastAsia" w:cs="Times New Roman"/>
          <w:kern w:val="0"/>
          <w:sz w:val="24"/>
          <w:szCs w:val="24"/>
          <w:lang w:eastAsia="zh-TW"/>
        </w:rPr>
        <w:footnoteReference w:id="1"/>
      </w:r>
    </w:p>
    <w:p w:rsidR="006F3E67" w:rsidRPr="009C107B" w:rsidRDefault="001E7D33" w:rsidP="00BE6B9D">
      <w:pPr>
        <w:snapToGrid w:val="0"/>
        <w:spacing w:before="50" w:afterLines="50" w:line="360" w:lineRule="auto"/>
        <w:ind w:firstLineChars="200" w:firstLine="480"/>
        <w:rPr>
          <w:rFonts w:asciiTheme="minorEastAsia" w:hAnsiTheme="minorEastAsia" w:cs="Times New Roman"/>
          <w:kern w:val="0"/>
          <w:sz w:val="24"/>
          <w:szCs w:val="24"/>
          <w:lang w:eastAsia="zh-TW"/>
        </w:rPr>
      </w:pPr>
      <w:r w:rsidRPr="009C107B">
        <w:rPr>
          <w:rFonts w:asciiTheme="minorEastAsia" w:hAnsiTheme="minorEastAsia" w:cs="Times New Roman" w:hint="eastAsia"/>
          <w:kern w:val="0"/>
          <w:sz w:val="24"/>
          <w:szCs w:val="24"/>
          <w:lang w:eastAsia="zh-TW"/>
        </w:rPr>
        <w:t>在建立各國間合作共贏的國際關係而生的人類命運共同體則成為葡語有利平台，皆因各國間的語言不盡相同，中國與葡語國家之交流則必須建立中葡雙語人才根基，方能達致合作共贏目標。</w:t>
      </w:r>
    </w:p>
    <w:p w:rsidR="00E81887" w:rsidRPr="00BE6B9D" w:rsidRDefault="001E7D33" w:rsidP="00BE6B9D">
      <w:pPr>
        <w:spacing w:before="50" w:afterLines="50" w:line="600" w:lineRule="auto"/>
        <w:rPr>
          <w:rFonts w:asciiTheme="minorEastAsia" w:hAnsiTheme="minorEastAsia" w:cs="Times New Roman"/>
          <w:b/>
          <w:kern w:val="0"/>
          <w:sz w:val="24"/>
          <w:szCs w:val="24"/>
          <w:lang w:eastAsia="zh-TW"/>
        </w:rPr>
      </w:pPr>
      <w:r w:rsidRPr="00BE6B9D">
        <w:rPr>
          <w:rFonts w:asciiTheme="minorEastAsia" w:hAnsiTheme="minorEastAsia" w:cs="Times New Roman" w:hint="eastAsia"/>
          <w:b/>
          <w:kern w:val="0"/>
          <w:sz w:val="24"/>
          <w:szCs w:val="24"/>
          <w:lang w:eastAsia="zh-TW"/>
        </w:rPr>
        <w:t>「一國兩制」下的澳門特區與培養中葡雙語人才的必然性</w:t>
      </w:r>
    </w:p>
    <w:p w:rsidR="00E81887" w:rsidRPr="009C107B" w:rsidRDefault="001E7D33" w:rsidP="00BE6B9D">
      <w:pPr>
        <w:snapToGrid w:val="0"/>
        <w:spacing w:before="50" w:afterLines="50" w:line="360" w:lineRule="auto"/>
        <w:ind w:firstLineChars="200" w:firstLine="480"/>
        <w:rPr>
          <w:rFonts w:asciiTheme="minorEastAsia" w:hAnsiTheme="minorEastAsia" w:cs="Times New Roman"/>
          <w:kern w:val="0"/>
          <w:sz w:val="24"/>
          <w:szCs w:val="24"/>
          <w:lang w:eastAsia="zh-TW"/>
        </w:rPr>
      </w:pPr>
      <w:r w:rsidRPr="009C107B">
        <w:rPr>
          <w:rFonts w:asciiTheme="minorEastAsia" w:hAnsiTheme="minorEastAsia" w:cs="Times New Roman" w:hint="eastAsia"/>
          <w:kern w:val="0"/>
          <w:sz w:val="24"/>
          <w:szCs w:val="24"/>
          <w:lang w:eastAsia="zh-TW"/>
        </w:rPr>
        <w:t>中華人民共和國《憲法》第三十一條規定：“國家在必要時得設立特別行政區。在特別行政區內實行的制度按照具體情況由全國人民代表大會以法律規定。”及澳門《基本法》而生的「一國兩制」而生的澳門特別行政區；同時，澳門《基本法》第9條規定，中文及葡文均為澳門特區的正式語文。正如尊敬的楊允中教授指出：“正式語文是指官方場合，即行政機關履行公務、立法機關制定法律、司法機關審理案件時正式使用的語文。”</w:t>
      </w:r>
      <w:r w:rsidRPr="009C107B">
        <w:rPr>
          <w:rStyle w:val="FootnoteReference"/>
          <w:rFonts w:asciiTheme="minorEastAsia" w:hAnsiTheme="minorEastAsia" w:cs="Times New Roman"/>
          <w:kern w:val="0"/>
          <w:sz w:val="24"/>
          <w:szCs w:val="24"/>
          <w:lang w:eastAsia="zh-TW"/>
        </w:rPr>
        <w:footnoteReference w:id="2"/>
      </w:r>
      <w:r w:rsidRPr="009C107B">
        <w:rPr>
          <w:rFonts w:asciiTheme="minorEastAsia" w:hAnsiTheme="minorEastAsia" w:cs="Times New Roman" w:hint="eastAsia"/>
          <w:kern w:val="0"/>
          <w:sz w:val="24"/>
          <w:szCs w:val="24"/>
          <w:lang w:eastAsia="zh-TW"/>
        </w:rPr>
        <w:t xml:space="preserve"> 這樣，葡語在澳門特區具有一個極其重要的地位，也是特區培養中葡雙語人才的重要依據，這亦是其基於「一國兩制」而與葡語結下的不解之緣。</w:t>
      </w:r>
    </w:p>
    <w:p w:rsidR="00E81887" w:rsidRDefault="00E81887" w:rsidP="00BE6B9D">
      <w:pPr>
        <w:snapToGrid w:val="0"/>
        <w:spacing w:before="50" w:afterLines="50" w:line="360" w:lineRule="auto"/>
        <w:rPr>
          <w:rFonts w:asciiTheme="minorEastAsia" w:hAnsiTheme="minorEastAsia" w:cs="Times New Roman"/>
          <w:b/>
          <w:kern w:val="0"/>
          <w:sz w:val="24"/>
          <w:szCs w:val="24"/>
          <w:lang w:eastAsia="zh-TW"/>
        </w:rPr>
      </w:pPr>
    </w:p>
    <w:p w:rsidR="00BE6B9D" w:rsidRDefault="00BE6B9D" w:rsidP="00BE6B9D">
      <w:pPr>
        <w:spacing w:before="50" w:afterLines="50" w:line="600" w:lineRule="auto"/>
        <w:rPr>
          <w:rFonts w:asciiTheme="minorEastAsia" w:hAnsiTheme="minorEastAsia" w:cs="Times New Roman"/>
          <w:b/>
          <w:kern w:val="0"/>
          <w:sz w:val="24"/>
          <w:szCs w:val="24"/>
          <w:lang w:eastAsia="zh-TW"/>
        </w:rPr>
      </w:pPr>
    </w:p>
    <w:p w:rsidR="00BE6B9D" w:rsidRPr="00BE6B9D" w:rsidRDefault="00BE6B9D" w:rsidP="00BE6B9D">
      <w:pPr>
        <w:pStyle w:val="ListParagraph"/>
        <w:numPr>
          <w:ilvl w:val="0"/>
          <w:numId w:val="3"/>
        </w:numPr>
        <w:adjustRightInd w:val="0"/>
        <w:snapToGrid w:val="0"/>
        <w:spacing w:beforeLines="50" w:afterLines="50" w:line="480" w:lineRule="auto"/>
        <w:ind w:left="475" w:firstLineChars="0" w:hanging="475"/>
        <w:outlineLvl w:val="0"/>
        <w:rPr>
          <w:rFonts w:asciiTheme="minorEastAsia" w:hAnsiTheme="minorEastAsia" w:cs="Times New Roman"/>
          <w:b/>
          <w:kern w:val="0"/>
          <w:sz w:val="24"/>
          <w:szCs w:val="24"/>
          <w:lang w:eastAsia="zh-TW"/>
        </w:rPr>
      </w:pPr>
      <w:r w:rsidRPr="00BE6B9D">
        <w:rPr>
          <w:rFonts w:asciiTheme="minorEastAsia" w:hAnsiTheme="minorEastAsia" w:cs="Times New Roman" w:hint="eastAsia"/>
          <w:b/>
          <w:sz w:val="28"/>
          <w:szCs w:val="28"/>
          <w:lang w:eastAsia="zh-TW"/>
        </w:rPr>
        <w:lastRenderedPageBreak/>
        <w:t>“一帶一路”與澳門特區培養中葡雙語人才的機遇</w:t>
      </w:r>
    </w:p>
    <w:p w:rsidR="00E81887" w:rsidRPr="009C107B" w:rsidRDefault="001E7D33" w:rsidP="00BE6B9D">
      <w:pPr>
        <w:snapToGrid w:val="0"/>
        <w:spacing w:before="50" w:afterLines="50" w:line="360" w:lineRule="auto"/>
        <w:ind w:firstLineChars="200" w:firstLine="480"/>
        <w:rPr>
          <w:rFonts w:asciiTheme="minorEastAsia" w:hAnsiTheme="minorEastAsia" w:cs="Times New Roman"/>
          <w:b/>
          <w:kern w:val="0"/>
          <w:sz w:val="24"/>
          <w:szCs w:val="24"/>
          <w:lang w:eastAsia="zh-TW"/>
        </w:rPr>
      </w:pPr>
      <w:r w:rsidRPr="009C107B">
        <w:rPr>
          <w:rFonts w:asciiTheme="minorEastAsia" w:hAnsiTheme="minorEastAsia" w:cs="Times New Roman" w:hint="eastAsia"/>
          <w:kern w:val="0"/>
          <w:sz w:val="24"/>
          <w:szCs w:val="24"/>
          <w:lang w:eastAsia="zh-TW"/>
        </w:rPr>
        <w:t>尊敬的國家主席習近平先生所言，推進“一帶一路”建設，一是要切實推進思想統一，堅持各國共商、共建、共享，遵循平等、追求互利，牢牢把握重點方向，聚焦重點地區、重點國家、重點項目，抓住發展這個最大公約數，不僅造福中國人民，更造福沿綫各國人民。中國歡迎各方搭乘中國發展的“快車”、“便車”，歡迎世界各國和國際組織參與到合作中來。</w:t>
      </w:r>
      <w:r w:rsidRPr="009C107B">
        <w:rPr>
          <w:rStyle w:val="FootnoteReference"/>
          <w:rFonts w:asciiTheme="minorEastAsia" w:hAnsiTheme="minorEastAsia" w:cs="Times New Roman"/>
          <w:kern w:val="0"/>
          <w:sz w:val="24"/>
          <w:szCs w:val="24"/>
          <w:lang w:eastAsia="zh-TW"/>
        </w:rPr>
        <w:footnoteReference w:id="3"/>
      </w:r>
    </w:p>
    <w:p w:rsidR="00E81887" w:rsidRDefault="001E7D33" w:rsidP="00BE6B9D">
      <w:pPr>
        <w:snapToGrid w:val="0"/>
        <w:spacing w:before="50" w:afterLines="50" w:line="360" w:lineRule="auto"/>
        <w:ind w:firstLineChars="200" w:firstLine="480"/>
        <w:rPr>
          <w:rFonts w:asciiTheme="minorEastAsia" w:hAnsiTheme="minorEastAsia" w:cs="Times New Roman"/>
          <w:kern w:val="0"/>
          <w:sz w:val="24"/>
          <w:szCs w:val="24"/>
          <w:lang w:eastAsia="zh-TW"/>
        </w:rPr>
      </w:pPr>
      <w:r w:rsidRPr="009C107B">
        <w:rPr>
          <w:rFonts w:asciiTheme="minorEastAsia" w:hAnsiTheme="minorEastAsia" w:cs="Times New Roman" w:hint="eastAsia"/>
          <w:kern w:val="0"/>
          <w:sz w:val="24"/>
          <w:szCs w:val="24"/>
          <w:lang w:eastAsia="zh-TW"/>
        </w:rPr>
        <w:t>“一帶一路”是國家的基本國策，澳門特區培養的中葡雙語人才有助我國與葡語國家溝通，以合作共贏為最終目標，造福我國及世界各國的人民。各國合力一齊團結和進步，為人類社會帶來幸福，故中葡雙語人才在“一帶一路”的基本國策上起著不可或缺的重要性，也為中葡雙語人才帶來發展新機遇，皆因他們將成為中國與葡語國家的重要溝通橋樑。</w:t>
      </w:r>
    </w:p>
    <w:p w:rsidR="00E81887" w:rsidRPr="009C107B" w:rsidRDefault="001E7D33" w:rsidP="00BE6B9D">
      <w:pPr>
        <w:pStyle w:val="ListParagraph"/>
        <w:numPr>
          <w:ilvl w:val="0"/>
          <w:numId w:val="1"/>
        </w:numPr>
        <w:spacing w:before="50" w:afterLines="50" w:line="600" w:lineRule="auto"/>
        <w:ind w:firstLineChars="0"/>
        <w:rPr>
          <w:rFonts w:asciiTheme="minorEastAsia" w:hAnsiTheme="minorEastAsia" w:cs="Times New Roman"/>
          <w:b/>
          <w:kern w:val="0"/>
          <w:sz w:val="24"/>
          <w:szCs w:val="24"/>
          <w:lang w:eastAsia="zh-TW"/>
        </w:rPr>
      </w:pPr>
      <w:r w:rsidRPr="009C107B">
        <w:rPr>
          <w:rFonts w:asciiTheme="minorEastAsia" w:hAnsiTheme="minorEastAsia" w:cs="Times New Roman" w:hint="eastAsia"/>
          <w:b/>
          <w:kern w:val="0"/>
          <w:sz w:val="24"/>
          <w:szCs w:val="24"/>
          <w:lang w:eastAsia="zh-TW"/>
        </w:rPr>
        <w:t>澳門特區高等院校現有推動葡語教育的基礎</w:t>
      </w:r>
    </w:p>
    <w:p w:rsidR="006F3E67" w:rsidRPr="005C11F2" w:rsidRDefault="001E7D33" w:rsidP="00BE6B9D">
      <w:pPr>
        <w:snapToGrid w:val="0"/>
        <w:spacing w:before="50" w:afterLines="50" w:line="360" w:lineRule="auto"/>
        <w:ind w:firstLineChars="200" w:firstLine="480"/>
        <w:rPr>
          <w:rFonts w:asciiTheme="minorEastAsia" w:hAnsiTheme="minorEastAsia" w:cs="Times New Roman"/>
          <w:kern w:val="0"/>
          <w:sz w:val="24"/>
          <w:szCs w:val="24"/>
          <w:lang w:eastAsia="zh-TW"/>
        </w:rPr>
      </w:pPr>
      <w:r w:rsidRPr="009C107B">
        <w:rPr>
          <w:rFonts w:asciiTheme="minorEastAsia" w:hAnsiTheme="minorEastAsia" w:cs="Times New Roman" w:hint="eastAsia"/>
          <w:color w:val="000000"/>
          <w:kern w:val="0"/>
          <w:sz w:val="24"/>
          <w:szCs w:val="24"/>
          <w:lang w:eastAsia="zh-TW"/>
        </w:rPr>
        <w:t>語言人才有助推動經貿發展，而高等教育培養出來的人才，是推動區域間發展的催化劑。澳門特區的中葡人才培養，其目的不單單是培養具有中葡溝通能力的人才。我們期望這批人才具有更深層次的文化交流，把不同城巿間具</w:t>
      </w:r>
      <w:r w:rsidRPr="009C107B">
        <w:rPr>
          <w:rFonts w:asciiTheme="minorEastAsia" w:hAnsiTheme="minorEastAsia" w:cs="Times New Roman"/>
          <w:color w:val="000000"/>
          <w:kern w:val="0"/>
          <w:sz w:val="24"/>
          <w:szCs w:val="24"/>
          <w:lang w:eastAsia="zh-TW"/>
        </w:rPr>
        <w:t>趣</w:t>
      </w:r>
      <w:r w:rsidRPr="009C107B">
        <w:rPr>
          <w:rFonts w:asciiTheme="minorEastAsia" w:hAnsiTheme="minorEastAsia" w:cs="Times New Roman" w:hint="eastAsia"/>
          <w:color w:val="000000"/>
          <w:kern w:val="0"/>
          <w:sz w:val="24"/>
          <w:szCs w:val="24"/>
          <w:lang w:eastAsia="zh-TW"/>
        </w:rPr>
        <w:t>味性的溝通</w:t>
      </w:r>
      <w:r w:rsidRPr="009C107B">
        <w:rPr>
          <w:rFonts w:asciiTheme="minorEastAsia" w:hAnsiTheme="minorEastAsia" w:cs="Times New Roman" w:hint="eastAsia"/>
          <w:color w:val="000000"/>
          <w:kern w:val="0"/>
          <w:sz w:val="24"/>
          <w:szCs w:val="24"/>
          <w:lang w:eastAsia="zh-HK"/>
        </w:rPr>
        <w:t>交流</w:t>
      </w:r>
      <w:r w:rsidRPr="009C107B">
        <w:rPr>
          <w:rFonts w:asciiTheme="minorEastAsia" w:hAnsiTheme="minorEastAsia" w:cs="Times New Roman" w:hint="eastAsia"/>
          <w:color w:val="000000"/>
          <w:kern w:val="0"/>
          <w:sz w:val="24"/>
          <w:szCs w:val="24"/>
          <w:lang w:eastAsia="zh-TW"/>
        </w:rPr>
        <w:t>起來</w:t>
      </w:r>
      <w:r w:rsidRPr="009C107B">
        <w:rPr>
          <w:rFonts w:asciiTheme="minorEastAsia" w:hAnsiTheme="minorEastAsia" w:cs="Times New Roman"/>
          <w:color w:val="000000"/>
          <w:kern w:val="0"/>
          <w:sz w:val="24"/>
          <w:szCs w:val="24"/>
          <w:lang w:eastAsia="zh-TW"/>
        </w:rPr>
        <w:t>，</w:t>
      </w:r>
      <w:r w:rsidRPr="009C107B">
        <w:rPr>
          <w:rFonts w:asciiTheme="minorEastAsia" w:hAnsiTheme="minorEastAsia" w:cs="Times New Roman" w:hint="eastAsia"/>
          <w:color w:val="000000"/>
          <w:kern w:val="0"/>
          <w:sz w:val="24"/>
          <w:szCs w:val="24"/>
          <w:lang w:eastAsia="zh-TW"/>
        </w:rPr>
        <w:t>同時亦發掘不同城巿間的需求和供給差優勢</w:t>
      </w:r>
      <w:r w:rsidRPr="009C107B">
        <w:rPr>
          <w:rFonts w:asciiTheme="minorEastAsia" w:hAnsiTheme="minorEastAsia" w:cs="Times New Roman"/>
          <w:color w:val="000000"/>
          <w:kern w:val="0"/>
          <w:sz w:val="24"/>
          <w:szCs w:val="24"/>
          <w:lang w:eastAsia="zh-TW"/>
        </w:rPr>
        <w:t>，</w:t>
      </w:r>
      <w:r w:rsidRPr="009C107B">
        <w:rPr>
          <w:rFonts w:asciiTheme="minorEastAsia" w:hAnsiTheme="minorEastAsia" w:cs="Times New Roman" w:hint="eastAsia"/>
          <w:color w:val="000000"/>
          <w:kern w:val="0"/>
          <w:sz w:val="24"/>
          <w:szCs w:val="24"/>
          <w:lang w:eastAsia="zh-TW"/>
        </w:rPr>
        <w:t>為一帶一路的經濟合作發展，成為有力的推動力</w:t>
      </w:r>
      <w:r w:rsidRPr="009C107B">
        <w:rPr>
          <w:rFonts w:asciiTheme="minorEastAsia" w:hAnsiTheme="minorEastAsia" w:cs="Times New Roman"/>
          <w:color w:val="000000"/>
          <w:kern w:val="0"/>
          <w:sz w:val="24"/>
          <w:szCs w:val="24"/>
          <w:lang w:eastAsia="zh-TW"/>
        </w:rPr>
        <w:t>。</w:t>
      </w:r>
      <w:r w:rsidRPr="009C107B">
        <w:rPr>
          <w:rFonts w:asciiTheme="minorEastAsia" w:hAnsiTheme="minorEastAsia" w:cs="Times New Roman" w:hint="eastAsia"/>
          <w:color w:val="000000"/>
          <w:kern w:val="0"/>
          <w:sz w:val="24"/>
          <w:szCs w:val="24"/>
          <w:lang w:eastAsia="zh-TW"/>
        </w:rPr>
        <w:t>澳門特區法院和檢察院需要大量法律文件進行翻譯，其在國際上或澳門特區內，對</w:t>
      </w:r>
      <w:r w:rsidRPr="009C107B">
        <w:rPr>
          <w:rFonts w:asciiTheme="minorEastAsia" w:hAnsiTheme="minorEastAsia" w:cs="Times New Roman" w:hint="eastAsia"/>
          <w:kern w:val="0"/>
          <w:sz w:val="24"/>
          <w:szCs w:val="24"/>
          <w:lang w:eastAsia="zh-TW"/>
        </w:rPr>
        <w:t>培養中葡雙語人才的需求是非常高。</w:t>
      </w:r>
    </w:p>
    <w:p w:rsidR="00E81887" w:rsidRPr="005C11F2" w:rsidRDefault="001E7D33" w:rsidP="00BE6B9D">
      <w:pPr>
        <w:snapToGrid w:val="0"/>
        <w:spacing w:before="50" w:afterLines="50" w:line="240" w:lineRule="auto"/>
        <w:jc w:val="center"/>
        <w:rPr>
          <w:rFonts w:asciiTheme="minorEastAsia" w:hAnsiTheme="minorEastAsia" w:cs="Times New Roman"/>
          <w:b/>
          <w:color w:val="000000"/>
          <w:kern w:val="0"/>
          <w:szCs w:val="21"/>
          <w:lang w:eastAsia="zh-TW"/>
        </w:rPr>
      </w:pPr>
      <w:r w:rsidRPr="005C11F2">
        <w:rPr>
          <w:rFonts w:asciiTheme="minorEastAsia" w:hAnsiTheme="minorEastAsia" w:cs="Times New Roman" w:hint="eastAsia"/>
          <w:b/>
          <w:color w:val="000000"/>
          <w:kern w:val="0"/>
          <w:szCs w:val="21"/>
          <w:lang w:eastAsia="zh-HK"/>
        </w:rPr>
        <w:t>表1、</w:t>
      </w:r>
      <w:r w:rsidRPr="005C11F2">
        <w:rPr>
          <w:rFonts w:asciiTheme="minorEastAsia" w:hAnsiTheme="minorEastAsia" w:cs="Times New Roman"/>
          <w:b/>
          <w:color w:val="000000"/>
          <w:kern w:val="0"/>
          <w:szCs w:val="21"/>
          <w:lang w:eastAsia="zh-HK"/>
        </w:rPr>
        <w:t>2018/2019 學年葡語相關及主要以葡語授課課程註冊學生人數</w:t>
      </w:r>
      <w:r w:rsidR="005C11F2">
        <w:rPr>
          <w:rStyle w:val="FootnoteReference"/>
          <w:rFonts w:asciiTheme="minorEastAsia" w:hAnsiTheme="minorEastAsia" w:cs="Times New Roman"/>
          <w:b/>
          <w:color w:val="000000"/>
          <w:kern w:val="0"/>
          <w:szCs w:val="21"/>
          <w:lang w:eastAsia="zh-HK"/>
        </w:rPr>
        <w:footnoteReference w:id="4"/>
      </w:r>
    </w:p>
    <w:tbl>
      <w:tblPr>
        <w:tblStyle w:val="TableGrid"/>
        <w:tblW w:w="7925" w:type="dxa"/>
        <w:jc w:val="center"/>
        <w:tblLayout w:type="fixed"/>
        <w:tblLook w:val="04A0"/>
      </w:tblPr>
      <w:tblGrid>
        <w:gridCol w:w="1833"/>
        <w:gridCol w:w="3005"/>
        <w:gridCol w:w="3087"/>
      </w:tblGrid>
      <w:tr w:rsidR="00E81887" w:rsidRPr="009C107B" w:rsidTr="00BE6B9D">
        <w:trPr>
          <w:trHeight w:val="665"/>
          <w:jc w:val="center"/>
        </w:trPr>
        <w:tc>
          <w:tcPr>
            <w:tcW w:w="1833" w:type="dxa"/>
            <w:vAlign w:val="center"/>
          </w:tcPr>
          <w:p w:rsidR="00E81887" w:rsidRPr="006F3E67" w:rsidRDefault="001E7D33" w:rsidP="00BE6B9D">
            <w:pPr>
              <w:snapToGrid w:val="0"/>
              <w:spacing w:before="50" w:afterLines="50" w:line="240" w:lineRule="auto"/>
              <w:jc w:val="center"/>
              <w:rPr>
                <w:rFonts w:asciiTheme="minorEastAsia" w:hAnsiTheme="minorEastAsia" w:cs="Times New Roman"/>
                <w:b/>
                <w:color w:val="000000"/>
                <w:kern w:val="0"/>
                <w:szCs w:val="21"/>
                <w:lang w:eastAsia="zh-TW"/>
              </w:rPr>
            </w:pPr>
            <w:r w:rsidRPr="006F3E67">
              <w:rPr>
                <w:rFonts w:asciiTheme="minorEastAsia" w:hAnsiTheme="minorEastAsia" w:cs="Times New Roman" w:hint="eastAsia"/>
                <w:b/>
                <w:color w:val="000000"/>
                <w:kern w:val="0"/>
                <w:szCs w:val="21"/>
                <w:lang w:eastAsia="zh-TW"/>
              </w:rPr>
              <w:t>年度</w:t>
            </w:r>
          </w:p>
        </w:tc>
        <w:tc>
          <w:tcPr>
            <w:tcW w:w="3005" w:type="dxa"/>
            <w:vAlign w:val="center"/>
          </w:tcPr>
          <w:p w:rsidR="00E81887" w:rsidRPr="006F3E67" w:rsidRDefault="001E7D33" w:rsidP="00BE6B9D">
            <w:pPr>
              <w:snapToGrid w:val="0"/>
              <w:spacing w:before="50" w:afterLines="50" w:line="240" w:lineRule="auto"/>
              <w:jc w:val="center"/>
              <w:rPr>
                <w:rFonts w:asciiTheme="minorEastAsia" w:hAnsiTheme="minorEastAsia" w:cs="Times New Roman"/>
                <w:b/>
                <w:color w:val="000000"/>
                <w:kern w:val="0"/>
                <w:szCs w:val="21"/>
                <w:lang w:eastAsia="zh-TW"/>
              </w:rPr>
            </w:pPr>
            <w:r w:rsidRPr="006F3E67">
              <w:rPr>
                <w:rFonts w:asciiTheme="minorEastAsia" w:hAnsiTheme="minorEastAsia" w:cs="Times New Roman" w:hint="eastAsia"/>
                <w:b/>
                <w:color w:val="000000"/>
                <w:kern w:val="0"/>
                <w:szCs w:val="21"/>
                <w:lang w:eastAsia="zh-TW"/>
              </w:rPr>
              <w:t>高等院校名稱</w:t>
            </w:r>
          </w:p>
        </w:tc>
        <w:tc>
          <w:tcPr>
            <w:tcW w:w="3087" w:type="dxa"/>
            <w:vAlign w:val="center"/>
          </w:tcPr>
          <w:p w:rsidR="00E81887" w:rsidRPr="006F3E67" w:rsidRDefault="001E7D33" w:rsidP="00BE6B9D">
            <w:pPr>
              <w:snapToGrid w:val="0"/>
              <w:spacing w:before="50" w:afterLines="50" w:line="240" w:lineRule="auto"/>
              <w:jc w:val="center"/>
              <w:rPr>
                <w:rFonts w:asciiTheme="minorEastAsia" w:hAnsiTheme="minorEastAsia" w:cs="Times New Roman"/>
                <w:b/>
                <w:color w:val="000000"/>
                <w:kern w:val="0"/>
                <w:szCs w:val="21"/>
                <w:lang w:eastAsia="zh-TW"/>
              </w:rPr>
            </w:pPr>
            <w:r w:rsidRPr="006F3E67">
              <w:rPr>
                <w:rFonts w:asciiTheme="minorEastAsia" w:hAnsiTheme="minorEastAsia" w:cs="Times New Roman" w:hint="eastAsia"/>
                <w:b/>
                <w:color w:val="000000"/>
                <w:kern w:val="0"/>
                <w:szCs w:val="21"/>
                <w:lang w:eastAsia="zh-TW"/>
              </w:rPr>
              <w:t>文憑、學士學位/碩士學位/博士學位課程總人數</w:t>
            </w:r>
          </w:p>
        </w:tc>
      </w:tr>
      <w:tr w:rsidR="00E81887" w:rsidRPr="009C107B" w:rsidTr="00BE6B9D">
        <w:trPr>
          <w:trHeight w:val="260"/>
          <w:jc w:val="center"/>
        </w:trPr>
        <w:tc>
          <w:tcPr>
            <w:tcW w:w="1833" w:type="dxa"/>
            <w:vMerge w:val="restart"/>
            <w:vAlign w:val="center"/>
          </w:tcPr>
          <w:p w:rsidR="00E81887" w:rsidRPr="006F3E67" w:rsidRDefault="001E7D33" w:rsidP="00BE6B9D">
            <w:pPr>
              <w:snapToGrid w:val="0"/>
              <w:spacing w:before="50" w:afterLines="50" w:line="240" w:lineRule="auto"/>
              <w:jc w:val="center"/>
              <w:rPr>
                <w:rFonts w:asciiTheme="minorEastAsia" w:hAnsiTheme="minorEastAsia" w:cs="Times New Roman"/>
                <w:b/>
                <w:color w:val="000000"/>
                <w:kern w:val="0"/>
                <w:szCs w:val="21"/>
                <w:lang w:eastAsia="zh-TW"/>
              </w:rPr>
            </w:pPr>
            <w:r w:rsidRPr="006F3E67">
              <w:rPr>
                <w:rFonts w:asciiTheme="minorEastAsia" w:hAnsiTheme="minorEastAsia" w:cs="Times New Roman" w:hint="eastAsia"/>
                <w:b/>
                <w:color w:val="000000"/>
                <w:kern w:val="0"/>
                <w:szCs w:val="21"/>
                <w:lang w:eastAsia="zh-TW"/>
              </w:rPr>
              <w:t>2018/2019</w:t>
            </w:r>
          </w:p>
        </w:tc>
        <w:tc>
          <w:tcPr>
            <w:tcW w:w="3005" w:type="dxa"/>
            <w:vAlign w:val="center"/>
          </w:tcPr>
          <w:p w:rsidR="00E81887" w:rsidRPr="006F3E67" w:rsidRDefault="001E7D33" w:rsidP="00BE6B9D">
            <w:pPr>
              <w:snapToGrid w:val="0"/>
              <w:spacing w:before="50" w:afterLines="50" w:line="240" w:lineRule="auto"/>
              <w:jc w:val="center"/>
              <w:rPr>
                <w:rFonts w:asciiTheme="minorEastAsia" w:hAnsiTheme="minorEastAsia" w:cs="Times New Roman"/>
                <w:color w:val="000000"/>
                <w:kern w:val="0"/>
                <w:szCs w:val="21"/>
                <w:lang w:eastAsia="zh-TW"/>
              </w:rPr>
            </w:pPr>
            <w:r w:rsidRPr="006F3E67">
              <w:rPr>
                <w:rFonts w:asciiTheme="minorEastAsia" w:hAnsiTheme="minorEastAsia" w:cs="Times New Roman" w:hint="eastAsia"/>
                <w:color w:val="000000"/>
                <w:kern w:val="0"/>
                <w:szCs w:val="21"/>
                <w:lang w:eastAsia="zh-TW"/>
              </w:rPr>
              <w:t>澳門大學</w:t>
            </w:r>
          </w:p>
        </w:tc>
        <w:tc>
          <w:tcPr>
            <w:tcW w:w="3087" w:type="dxa"/>
            <w:vAlign w:val="center"/>
          </w:tcPr>
          <w:p w:rsidR="00E81887" w:rsidRPr="006F3E67" w:rsidRDefault="001E7D33" w:rsidP="00BE6B9D">
            <w:pPr>
              <w:snapToGrid w:val="0"/>
              <w:spacing w:before="50" w:afterLines="50" w:line="240" w:lineRule="auto"/>
              <w:jc w:val="center"/>
              <w:rPr>
                <w:rFonts w:asciiTheme="minorEastAsia" w:hAnsiTheme="minorEastAsia" w:cs="Times New Roman"/>
                <w:color w:val="000000"/>
                <w:kern w:val="0"/>
                <w:szCs w:val="21"/>
                <w:lang w:eastAsia="zh-TW"/>
              </w:rPr>
            </w:pPr>
            <w:r w:rsidRPr="006F3E67">
              <w:rPr>
                <w:rFonts w:asciiTheme="minorEastAsia" w:hAnsiTheme="minorEastAsia" w:cs="Times New Roman" w:hint="eastAsia"/>
                <w:color w:val="000000"/>
                <w:kern w:val="0"/>
                <w:szCs w:val="21"/>
                <w:lang w:eastAsia="zh-TW"/>
              </w:rPr>
              <w:t>662</w:t>
            </w:r>
          </w:p>
        </w:tc>
      </w:tr>
      <w:tr w:rsidR="00E81887" w:rsidRPr="009C107B" w:rsidTr="00BE6B9D">
        <w:trPr>
          <w:trHeight w:val="426"/>
          <w:jc w:val="center"/>
        </w:trPr>
        <w:tc>
          <w:tcPr>
            <w:tcW w:w="1833" w:type="dxa"/>
            <w:vMerge/>
            <w:vAlign w:val="center"/>
          </w:tcPr>
          <w:p w:rsidR="00E81887" w:rsidRPr="006F3E67" w:rsidRDefault="00E81887" w:rsidP="00BE6B9D">
            <w:pPr>
              <w:snapToGrid w:val="0"/>
              <w:spacing w:before="50" w:afterLines="50" w:line="240" w:lineRule="auto"/>
              <w:jc w:val="center"/>
              <w:rPr>
                <w:rFonts w:asciiTheme="minorEastAsia" w:hAnsiTheme="minorEastAsia" w:cs="Times New Roman"/>
                <w:b/>
                <w:color w:val="000000"/>
                <w:kern w:val="0"/>
                <w:szCs w:val="21"/>
                <w:lang w:eastAsia="zh-TW"/>
              </w:rPr>
            </w:pPr>
          </w:p>
        </w:tc>
        <w:tc>
          <w:tcPr>
            <w:tcW w:w="3005" w:type="dxa"/>
            <w:vAlign w:val="center"/>
          </w:tcPr>
          <w:p w:rsidR="00E81887" w:rsidRPr="006F3E67" w:rsidRDefault="001E7D33" w:rsidP="00BE6B9D">
            <w:pPr>
              <w:snapToGrid w:val="0"/>
              <w:spacing w:before="50" w:afterLines="50" w:line="240" w:lineRule="auto"/>
              <w:jc w:val="center"/>
              <w:rPr>
                <w:rFonts w:asciiTheme="minorEastAsia" w:hAnsiTheme="minorEastAsia" w:cs="Times New Roman"/>
                <w:color w:val="000000"/>
                <w:kern w:val="0"/>
                <w:szCs w:val="21"/>
                <w:lang w:eastAsia="zh-TW"/>
              </w:rPr>
            </w:pPr>
            <w:r w:rsidRPr="006F3E67">
              <w:rPr>
                <w:rFonts w:asciiTheme="minorEastAsia" w:hAnsiTheme="minorEastAsia" w:cs="Times New Roman" w:hint="eastAsia"/>
                <w:color w:val="000000"/>
                <w:kern w:val="0"/>
                <w:szCs w:val="21"/>
                <w:lang w:eastAsia="zh-TW"/>
              </w:rPr>
              <w:t>澳門理工學院</w:t>
            </w:r>
          </w:p>
        </w:tc>
        <w:tc>
          <w:tcPr>
            <w:tcW w:w="3087" w:type="dxa"/>
            <w:vAlign w:val="center"/>
          </w:tcPr>
          <w:p w:rsidR="00E81887" w:rsidRPr="006F3E67" w:rsidRDefault="001E7D33" w:rsidP="00BE6B9D">
            <w:pPr>
              <w:snapToGrid w:val="0"/>
              <w:spacing w:before="50" w:afterLines="50" w:line="240" w:lineRule="auto"/>
              <w:jc w:val="center"/>
              <w:rPr>
                <w:rFonts w:asciiTheme="minorEastAsia" w:hAnsiTheme="minorEastAsia" w:cs="Times New Roman"/>
                <w:color w:val="000000"/>
                <w:kern w:val="0"/>
                <w:szCs w:val="21"/>
                <w:lang w:eastAsia="zh-TW"/>
              </w:rPr>
            </w:pPr>
            <w:r w:rsidRPr="006F3E67">
              <w:rPr>
                <w:rFonts w:asciiTheme="minorEastAsia" w:hAnsiTheme="minorEastAsia" w:cs="Times New Roman" w:hint="eastAsia"/>
                <w:color w:val="000000"/>
                <w:kern w:val="0"/>
                <w:szCs w:val="21"/>
                <w:lang w:eastAsia="zh-TW"/>
              </w:rPr>
              <w:t>616</w:t>
            </w:r>
          </w:p>
        </w:tc>
      </w:tr>
      <w:tr w:rsidR="00E81887" w:rsidRPr="009C107B" w:rsidTr="00BE6B9D">
        <w:trPr>
          <w:trHeight w:val="436"/>
          <w:jc w:val="center"/>
        </w:trPr>
        <w:tc>
          <w:tcPr>
            <w:tcW w:w="1833" w:type="dxa"/>
            <w:vMerge/>
            <w:vAlign w:val="center"/>
          </w:tcPr>
          <w:p w:rsidR="00E81887" w:rsidRPr="006F3E67" w:rsidRDefault="00E81887" w:rsidP="00BE6B9D">
            <w:pPr>
              <w:snapToGrid w:val="0"/>
              <w:spacing w:before="50" w:afterLines="50" w:line="240" w:lineRule="auto"/>
              <w:jc w:val="center"/>
              <w:rPr>
                <w:rFonts w:asciiTheme="minorEastAsia" w:hAnsiTheme="minorEastAsia" w:cs="Times New Roman"/>
                <w:b/>
                <w:color w:val="000000"/>
                <w:kern w:val="0"/>
                <w:szCs w:val="21"/>
                <w:lang w:eastAsia="zh-TW"/>
              </w:rPr>
            </w:pPr>
          </w:p>
        </w:tc>
        <w:tc>
          <w:tcPr>
            <w:tcW w:w="3005" w:type="dxa"/>
            <w:vAlign w:val="center"/>
          </w:tcPr>
          <w:p w:rsidR="00E81887" w:rsidRPr="006F3E67" w:rsidRDefault="001E7D33" w:rsidP="00BE6B9D">
            <w:pPr>
              <w:snapToGrid w:val="0"/>
              <w:spacing w:before="50" w:afterLines="50" w:line="240" w:lineRule="auto"/>
              <w:jc w:val="center"/>
              <w:rPr>
                <w:rFonts w:asciiTheme="minorEastAsia" w:hAnsiTheme="minorEastAsia" w:cs="Times New Roman"/>
                <w:color w:val="000000"/>
                <w:kern w:val="0"/>
                <w:szCs w:val="21"/>
                <w:lang w:eastAsia="zh-TW"/>
              </w:rPr>
            </w:pPr>
            <w:r w:rsidRPr="006F3E67">
              <w:rPr>
                <w:rFonts w:asciiTheme="minorEastAsia" w:hAnsiTheme="minorEastAsia" w:cs="Times New Roman" w:hint="eastAsia"/>
                <w:color w:val="000000"/>
                <w:kern w:val="0"/>
                <w:szCs w:val="21"/>
                <w:lang w:eastAsia="zh-TW"/>
              </w:rPr>
              <w:t>聖約瑟大學</w:t>
            </w:r>
          </w:p>
        </w:tc>
        <w:tc>
          <w:tcPr>
            <w:tcW w:w="3087" w:type="dxa"/>
            <w:vAlign w:val="center"/>
          </w:tcPr>
          <w:p w:rsidR="00E81887" w:rsidRPr="006F3E67" w:rsidRDefault="001E7D33" w:rsidP="00BE6B9D">
            <w:pPr>
              <w:snapToGrid w:val="0"/>
              <w:spacing w:before="50" w:afterLines="50" w:line="240" w:lineRule="auto"/>
              <w:jc w:val="center"/>
              <w:rPr>
                <w:rFonts w:asciiTheme="minorEastAsia" w:hAnsiTheme="minorEastAsia" w:cs="Times New Roman"/>
                <w:color w:val="000000"/>
                <w:kern w:val="0"/>
                <w:szCs w:val="21"/>
                <w:lang w:eastAsia="zh-TW"/>
              </w:rPr>
            </w:pPr>
            <w:r w:rsidRPr="006F3E67">
              <w:rPr>
                <w:rFonts w:asciiTheme="minorEastAsia" w:hAnsiTheme="minorEastAsia" w:cs="Times New Roman" w:hint="eastAsia"/>
                <w:color w:val="000000"/>
                <w:kern w:val="0"/>
                <w:szCs w:val="21"/>
                <w:lang w:eastAsia="zh-TW"/>
              </w:rPr>
              <w:t>63</w:t>
            </w:r>
          </w:p>
        </w:tc>
      </w:tr>
      <w:tr w:rsidR="00E81887" w:rsidRPr="009C107B" w:rsidTr="00BE6B9D">
        <w:trPr>
          <w:trHeight w:val="426"/>
          <w:jc w:val="center"/>
        </w:trPr>
        <w:tc>
          <w:tcPr>
            <w:tcW w:w="1833" w:type="dxa"/>
            <w:vMerge/>
            <w:vAlign w:val="center"/>
          </w:tcPr>
          <w:p w:rsidR="00E81887" w:rsidRPr="006F3E67" w:rsidRDefault="00E81887" w:rsidP="00BE6B9D">
            <w:pPr>
              <w:snapToGrid w:val="0"/>
              <w:spacing w:before="50" w:afterLines="50" w:line="240" w:lineRule="auto"/>
              <w:jc w:val="center"/>
              <w:rPr>
                <w:rFonts w:asciiTheme="minorEastAsia" w:hAnsiTheme="minorEastAsia" w:cs="Times New Roman"/>
                <w:b/>
                <w:color w:val="000000"/>
                <w:kern w:val="0"/>
                <w:szCs w:val="21"/>
                <w:lang w:eastAsia="zh-TW"/>
              </w:rPr>
            </w:pPr>
          </w:p>
        </w:tc>
        <w:tc>
          <w:tcPr>
            <w:tcW w:w="3005" w:type="dxa"/>
            <w:vAlign w:val="center"/>
          </w:tcPr>
          <w:p w:rsidR="00E81887" w:rsidRPr="006F3E67" w:rsidRDefault="001E7D33" w:rsidP="00BE6B9D">
            <w:pPr>
              <w:snapToGrid w:val="0"/>
              <w:spacing w:before="50" w:afterLines="50" w:line="240" w:lineRule="auto"/>
              <w:jc w:val="center"/>
              <w:rPr>
                <w:rFonts w:asciiTheme="minorEastAsia" w:hAnsiTheme="minorEastAsia" w:cs="Times New Roman"/>
                <w:color w:val="000000"/>
                <w:kern w:val="0"/>
                <w:szCs w:val="21"/>
                <w:lang w:eastAsia="zh-TW"/>
              </w:rPr>
            </w:pPr>
            <w:r w:rsidRPr="006F3E67">
              <w:rPr>
                <w:rFonts w:asciiTheme="minorEastAsia" w:hAnsiTheme="minorEastAsia" w:cs="Times New Roman" w:hint="eastAsia"/>
                <w:color w:val="000000"/>
                <w:kern w:val="0"/>
                <w:szCs w:val="21"/>
                <w:lang w:eastAsia="zh-TW"/>
              </w:rPr>
              <w:t>澳門科技大學</w:t>
            </w:r>
          </w:p>
        </w:tc>
        <w:tc>
          <w:tcPr>
            <w:tcW w:w="3087" w:type="dxa"/>
            <w:vAlign w:val="center"/>
          </w:tcPr>
          <w:p w:rsidR="00E81887" w:rsidRPr="006F3E67" w:rsidRDefault="001E7D33" w:rsidP="00BE6B9D">
            <w:pPr>
              <w:snapToGrid w:val="0"/>
              <w:spacing w:before="50" w:afterLines="50" w:line="240" w:lineRule="auto"/>
              <w:jc w:val="center"/>
              <w:rPr>
                <w:rFonts w:asciiTheme="minorEastAsia" w:hAnsiTheme="minorEastAsia" w:cs="Times New Roman"/>
                <w:color w:val="000000"/>
                <w:kern w:val="0"/>
                <w:szCs w:val="21"/>
                <w:lang w:eastAsia="zh-TW"/>
              </w:rPr>
            </w:pPr>
            <w:r w:rsidRPr="006F3E67">
              <w:rPr>
                <w:rFonts w:asciiTheme="minorEastAsia" w:hAnsiTheme="minorEastAsia" w:cs="Times New Roman" w:hint="eastAsia"/>
                <w:color w:val="000000"/>
                <w:kern w:val="0"/>
                <w:szCs w:val="21"/>
                <w:lang w:eastAsia="zh-TW"/>
              </w:rPr>
              <w:t>149</w:t>
            </w:r>
          </w:p>
        </w:tc>
      </w:tr>
    </w:tbl>
    <w:p w:rsidR="00E81887" w:rsidRPr="006F3E67" w:rsidRDefault="001E7D33" w:rsidP="00BE6B9D">
      <w:pPr>
        <w:pStyle w:val="ListParagraph"/>
        <w:numPr>
          <w:ilvl w:val="0"/>
          <w:numId w:val="1"/>
        </w:numPr>
        <w:spacing w:before="50" w:afterLines="50" w:line="600" w:lineRule="auto"/>
        <w:ind w:firstLineChars="0"/>
        <w:rPr>
          <w:rFonts w:asciiTheme="minorEastAsia" w:hAnsiTheme="minorEastAsia" w:cs="Times New Roman"/>
          <w:b/>
          <w:kern w:val="0"/>
          <w:sz w:val="24"/>
          <w:szCs w:val="24"/>
          <w:lang w:eastAsia="zh-TW"/>
        </w:rPr>
      </w:pPr>
      <w:r w:rsidRPr="006F3E67">
        <w:rPr>
          <w:rFonts w:asciiTheme="minorEastAsia" w:hAnsiTheme="minorEastAsia" w:cs="Times New Roman" w:hint="eastAsia"/>
          <w:b/>
          <w:kern w:val="0"/>
          <w:sz w:val="24"/>
          <w:szCs w:val="24"/>
          <w:lang w:eastAsia="zh-TW"/>
        </w:rPr>
        <w:lastRenderedPageBreak/>
        <w:t>澳門特區現有可供外語</w:t>
      </w:r>
      <w:r w:rsidRPr="006F3E67">
        <w:rPr>
          <w:rFonts w:asciiTheme="minorEastAsia" w:hAnsiTheme="minorEastAsia" w:cs="Times New Roman"/>
          <w:b/>
          <w:kern w:val="0"/>
          <w:sz w:val="24"/>
          <w:szCs w:val="24"/>
          <w:lang w:eastAsia="zh-TW"/>
        </w:rPr>
        <w:t>能力</w:t>
      </w:r>
      <w:r w:rsidRPr="006F3E67">
        <w:rPr>
          <w:rFonts w:asciiTheme="minorEastAsia" w:hAnsiTheme="minorEastAsia" w:cs="Times New Roman" w:hint="eastAsia"/>
          <w:b/>
          <w:kern w:val="0"/>
          <w:sz w:val="24"/>
          <w:szCs w:val="24"/>
          <w:lang w:eastAsia="zh-TW"/>
        </w:rPr>
        <w:t>人才發展的平台</w:t>
      </w:r>
      <w:r w:rsidR="009516EE">
        <w:rPr>
          <w:rFonts w:asciiTheme="minorEastAsia" w:hAnsiTheme="minorEastAsia" w:cs="Times New Roman" w:hint="eastAsia"/>
          <w:b/>
          <w:kern w:val="0"/>
          <w:sz w:val="24"/>
          <w:szCs w:val="24"/>
          <w:lang w:eastAsia="zh-TW"/>
        </w:rPr>
        <w:t>（</w:t>
      </w:r>
      <w:r w:rsidRPr="006F3E67">
        <w:rPr>
          <w:rFonts w:asciiTheme="minorEastAsia" w:hAnsiTheme="minorEastAsia" w:cs="Times New Roman" w:hint="eastAsia"/>
          <w:b/>
          <w:kern w:val="0"/>
          <w:sz w:val="24"/>
          <w:szCs w:val="24"/>
          <w:lang w:eastAsia="zh-TW"/>
        </w:rPr>
        <w:t>國際組織和機制</w:t>
      </w:r>
      <w:r w:rsidR="009516EE">
        <w:rPr>
          <w:rFonts w:asciiTheme="minorEastAsia" w:hAnsiTheme="minorEastAsia" w:cs="Times New Roman" w:hint="eastAsia"/>
          <w:b/>
          <w:kern w:val="0"/>
          <w:sz w:val="24"/>
          <w:szCs w:val="24"/>
          <w:lang w:eastAsia="zh-TW"/>
        </w:rPr>
        <w:t>）</w:t>
      </w:r>
      <w:r w:rsidRPr="006F3E67">
        <w:rPr>
          <w:rFonts w:asciiTheme="minorEastAsia" w:hAnsiTheme="minorEastAsia" w:cs="Times New Roman" w:hint="eastAsia"/>
          <w:b/>
          <w:kern w:val="0"/>
          <w:sz w:val="24"/>
          <w:szCs w:val="24"/>
          <w:lang w:eastAsia="zh-TW"/>
        </w:rPr>
        <w:t>優勢</w:t>
      </w:r>
    </w:p>
    <w:p w:rsidR="00E81887" w:rsidRPr="009C107B" w:rsidRDefault="001E7D33" w:rsidP="00BE6B9D">
      <w:pPr>
        <w:snapToGrid w:val="0"/>
        <w:spacing w:before="50" w:afterLines="50" w:line="360" w:lineRule="auto"/>
        <w:ind w:firstLineChars="200" w:firstLine="480"/>
        <w:rPr>
          <w:rFonts w:asciiTheme="minorEastAsia" w:hAnsiTheme="minorEastAsia" w:cs="Times New Roman"/>
          <w:kern w:val="0"/>
          <w:sz w:val="24"/>
          <w:szCs w:val="24"/>
          <w:lang w:eastAsia="zh-TW"/>
        </w:rPr>
      </w:pPr>
      <w:r w:rsidRPr="009C107B">
        <w:rPr>
          <w:rFonts w:asciiTheme="minorEastAsia" w:hAnsiTheme="minorEastAsia" w:cs="Times New Roman" w:hint="eastAsia"/>
          <w:kern w:val="0"/>
          <w:sz w:val="24"/>
          <w:szCs w:val="24"/>
          <w:lang w:eastAsia="zh-TW"/>
        </w:rPr>
        <w:t>2</w:t>
      </w:r>
      <w:r w:rsidRPr="009C107B">
        <w:rPr>
          <w:rFonts w:asciiTheme="minorEastAsia" w:hAnsiTheme="minorEastAsia" w:cs="Times New Roman"/>
          <w:kern w:val="0"/>
          <w:sz w:val="24"/>
          <w:szCs w:val="24"/>
          <w:lang w:eastAsia="zh-TW"/>
        </w:rPr>
        <w:t>019年</w:t>
      </w:r>
      <w:r w:rsidRPr="009C107B">
        <w:rPr>
          <w:rFonts w:asciiTheme="minorEastAsia" w:hAnsiTheme="minorEastAsia" w:cs="Times New Roman" w:hint="eastAsia"/>
          <w:kern w:val="0"/>
          <w:sz w:val="24"/>
          <w:szCs w:val="24"/>
          <w:lang w:eastAsia="zh-TW"/>
        </w:rPr>
        <w:t>12</w:t>
      </w:r>
      <w:r w:rsidRPr="009C107B">
        <w:rPr>
          <w:rFonts w:asciiTheme="minorEastAsia" w:hAnsiTheme="minorEastAsia" w:cs="Times New Roman"/>
          <w:kern w:val="0"/>
          <w:sz w:val="24"/>
          <w:szCs w:val="24"/>
          <w:lang w:eastAsia="zh-TW"/>
        </w:rPr>
        <w:t>月</w:t>
      </w:r>
      <w:r w:rsidRPr="009C107B">
        <w:rPr>
          <w:rFonts w:asciiTheme="minorEastAsia" w:hAnsiTheme="minorEastAsia" w:cs="Times New Roman" w:hint="eastAsia"/>
          <w:kern w:val="0"/>
          <w:sz w:val="24"/>
          <w:szCs w:val="24"/>
          <w:lang w:eastAsia="zh-TW"/>
        </w:rPr>
        <w:t>11</w:t>
      </w:r>
      <w:r w:rsidRPr="009C107B">
        <w:rPr>
          <w:rFonts w:asciiTheme="minorEastAsia" w:hAnsiTheme="minorEastAsia" w:cs="Times New Roman"/>
          <w:kern w:val="0"/>
          <w:sz w:val="24"/>
          <w:szCs w:val="24"/>
          <w:lang w:eastAsia="zh-TW"/>
        </w:rPr>
        <w:t>日</w:t>
      </w:r>
      <w:r w:rsidRPr="009C107B">
        <w:rPr>
          <w:rFonts w:asciiTheme="minorEastAsia" w:hAnsiTheme="minorEastAsia" w:cs="Times New Roman" w:hint="eastAsia"/>
          <w:kern w:val="0"/>
          <w:sz w:val="24"/>
          <w:szCs w:val="24"/>
          <w:lang w:eastAsia="zh-TW"/>
        </w:rPr>
        <w:t>中華人民共和國外交部駐澳門特別行政區特派員公署發佈的</w:t>
      </w:r>
      <w:r w:rsidRPr="009C107B">
        <w:rPr>
          <w:rFonts w:asciiTheme="minorEastAsia" w:hAnsiTheme="minorEastAsia" w:cs="Times New Roman"/>
          <w:kern w:val="0"/>
          <w:sz w:val="24"/>
          <w:szCs w:val="24"/>
          <w:lang w:eastAsia="zh-TW"/>
        </w:rPr>
        <w:t>“</w:t>
      </w:r>
      <w:r w:rsidRPr="009C107B">
        <w:rPr>
          <w:rFonts w:asciiTheme="minorEastAsia" w:hAnsiTheme="minorEastAsia" w:cs="Times New Roman" w:hint="eastAsia"/>
          <w:kern w:val="0"/>
          <w:sz w:val="24"/>
          <w:szCs w:val="24"/>
          <w:lang w:eastAsia="zh-TW"/>
        </w:rPr>
        <w:t>澳門特區參加國際組織清單</w:t>
      </w:r>
      <w:r w:rsidRPr="009C107B">
        <w:rPr>
          <w:rFonts w:asciiTheme="minorEastAsia" w:hAnsiTheme="minorEastAsia" w:cs="Times New Roman"/>
          <w:kern w:val="0"/>
          <w:sz w:val="24"/>
          <w:szCs w:val="24"/>
          <w:lang w:eastAsia="zh-TW"/>
        </w:rPr>
        <w:t>”</w:t>
      </w:r>
      <w:r w:rsidRPr="009C107B">
        <w:rPr>
          <w:rFonts w:asciiTheme="minorEastAsia" w:hAnsiTheme="minorEastAsia" w:cs="Times New Roman" w:hint="eastAsia"/>
          <w:kern w:val="0"/>
          <w:sz w:val="24"/>
          <w:szCs w:val="24"/>
          <w:lang w:eastAsia="zh-TW"/>
        </w:rPr>
        <w:t>，其作為一種長遠培育人才，是澳門特區背靠祖國、面向世界的長遠方針。由於澳門特區的競爭優勢，無論法律人才交流需求，或者中葡國家的商貿及旅遊往來，都可以為澳門特區這座小城，勾劃出新的發展藍圖。澳門特區為特殊的旅遊博彩業城巿，可以在這基礎上進一步拓展其產業鏈。旅遊博彩業可以為澳門特區引來不同領域的專業人才，教育產業有利於社會多元化的經濟收益。目前，澳門特區參加的政府間國際組織和機制期有48個，另澳門特區政府部門參加的非政府間國際組織和機制期有75個(例如博鰲亞洲論壇、葡語都巿聯盟、國際展覽業協會、亞洲法庭科學網、國際檔案理事會、世界家庭織、國際體育科學與體育教育理事會、國際高等教育質量保證機構網絡、國際檢察官協會、國際申訴員協會、國際矯正與監獄協會、國際博物館協會、葡語國際通信協會、亞太旅遊及培訓院校網絡等)。</w:t>
      </w:r>
    </w:p>
    <w:p w:rsidR="00E81887" w:rsidRPr="005C11F2" w:rsidRDefault="001E7D33" w:rsidP="00BE6B9D">
      <w:pPr>
        <w:snapToGrid w:val="0"/>
        <w:spacing w:before="50" w:afterLines="50" w:line="240" w:lineRule="auto"/>
        <w:jc w:val="center"/>
        <w:rPr>
          <w:rFonts w:asciiTheme="minorEastAsia" w:hAnsiTheme="minorEastAsia" w:cs="Times New Roman"/>
          <w:b/>
          <w:color w:val="000000"/>
          <w:kern w:val="0"/>
          <w:szCs w:val="21"/>
          <w:lang w:eastAsia="zh-HK"/>
        </w:rPr>
      </w:pPr>
      <w:r w:rsidRPr="005C11F2">
        <w:rPr>
          <w:rFonts w:asciiTheme="minorEastAsia" w:hAnsiTheme="minorEastAsia" w:cs="Times New Roman" w:hint="eastAsia"/>
          <w:b/>
          <w:color w:val="000000"/>
          <w:kern w:val="0"/>
          <w:szCs w:val="21"/>
          <w:lang w:eastAsia="zh-HK"/>
        </w:rPr>
        <w:t>表2、澳門特區參加的以國家為單位參加的政府間國際組織和機制</w:t>
      </w:r>
    </w:p>
    <w:tbl>
      <w:tblPr>
        <w:tblStyle w:val="TableGrid"/>
        <w:tblW w:w="8522" w:type="dxa"/>
        <w:tblLayout w:type="fixed"/>
        <w:tblLook w:val="04A0"/>
      </w:tblPr>
      <w:tblGrid>
        <w:gridCol w:w="4786"/>
        <w:gridCol w:w="3736"/>
      </w:tblGrid>
      <w:tr w:rsidR="00E81887" w:rsidRPr="005C11F2" w:rsidTr="009516EE">
        <w:tc>
          <w:tcPr>
            <w:tcW w:w="4786" w:type="dxa"/>
            <w:vAlign w:val="center"/>
          </w:tcPr>
          <w:bookmarkEnd w:id="0"/>
          <w:bookmarkEnd w:id="1"/>
          <w:p w:rsidR="00E81887" w:rsidRPr="005C11F2" w:rsidRDefault="001E7D33" w:rsidP="00BB5EAB">
            <w:pPr>
              <w:pStyle w:val="Default"/>
              <w:spacing w:line="276" w:lineRule="auto"/>
              <w:jc w:val="center"/>
              <w:rPr>
                <w:rFonts w:asciiTheme="minorEastAsia" w:eastAsiaTheme="minorEastAsia" w:hAnsiTheme="minorEastAsia" w:cs="Times New Roman"/>
                <w:b/>
                <w:color w:val="323232"/>
                <w:sz w:val="21"/>
                <w:szCs w:val="21"/>
              </w:rPr>
            </w:pPr>
            <w:r w:rsidRPr="005C11F2">
              <w:rPr>
                <w:rFonts w:asciiTheme="minorEastAsia" w:eastAsiaTheme="minorEastAsia" w:hAnsiTheme="minorEastAsia" w:hint="eastAsia"/>
                <w:b/>
                <w:color w:val="323232"/>
                <w:sz w:val="21"/>
                <w:szCs w:val="21"/>
              </w:rPr>
              <w:t>組織名稱</w:t>
            </w:r>
          </w:p>
        </w:tc>
        <w:tc>
          <w:tcPr>
            <w:tcW w:w="3736" w:type="dxa"/>
            <w:vAlign w:val="center"/>
          </w:tcPr>
          <w:p w:rsidR="00E81887" w:rsidRPr="005C11F2" w:rsidRDefault="001E7D33" w:rsidP="00BB5EAB">
            <w:pPr>
              <w:pStyle w:val="Default"/>
              <w:spacing w:line="276" w:lineRule="auto"/>
              <w:jc w:val="center"/>
              <w:rPr>
                <w:rFonts w:asciiTheme="minorEastAsia" w:eastAsiaTheme="minorEastAsia" w:hAnsiTheme="minorEastAsia" w:cs="Times New Roman"/>
                <w:b/>
                <w:color w:val="323232"/>
                <w:sz w:val="21"/>
                <w:szCs w:val="21"/>
              </w:rPr>
            </w:pPr>
            <w:r w:rsidRPr="005C11F2">
              <w:rPr>
                <w:rFonts w:asciiTheme="minorEastAsia" w:eastAsiaTheme="minorEastAsia" w:hAnsiTheme="minorEastAsia" w:hint="eastAsia"/>
                <w:b/>
                <w:color w:val="323232"/>
                <w:sz w:val="21"/>
                <w:szCs w:val="21"/>
              </w:rPr>
              <w:t>負責部門</w:t>
            </w:r>
          </w:p>
        </w:tc>
      </w:tr>
      <w:tr w:rsidR="00E81887" w:rsidRPr="005C11F2" w:rsidTr="009516EE">
        <w:tc>
          <w:tcPr>
            <w:tcW w:w="4786" w:type="dxa"/>
            <w:vAlign w:val="center"/>
          </w:tcPr>
          <w:p w:rsidR="00E81887" w:rsidRPr="005C11F2" w:rsidRDefault="001E7D33">
            <w:pPr>
              <w:pStyle w:val="Default"/>
              <w:rPr>
                <w:rFonts w:asciiTheme="minorEastAsia" w:eastAsiaTheme="minorEastAsia" w:hAnsiTheme="minorEastAsia" w:cs="Times New Roman"/>
                <w:color w:val="323232"/>
                <w:sz w:val="21"/>
                <w:szCs w:val="21"/>
              </w:rPr>
            </w:pPr>
            <w:r w:rsidRPr="005C11F2">
              <w:rPr>
                <w:rFonts w:asciiTheme="minorEastAsia" w:eastAsiaTheme="minorEastAsia" w:hAnsiTheme="minorEastAsia" w:cs="Times New Roman"/>
                <w:sz w:val="21"/>
                <w:szCs w:val="21"/>
              </w:rPr>
              <w:t>1.</w:t>
            </w:r>
            <w:r w:rsidRPr="005C11F2">
              <w:rPr>
                <w:rFonts w:asciiTheme="minorEastAsia" w:eastAsiaTheme="minorEastAsia" w:hAnsiTheme="minorEastAsia" w:hint="eastAsia"/>
                <w:sz w:val="21"/>
                <w:szCs w:val="21"/>
              </w:rPr>
              <w:t xml:space="preserve"> 聯合國亞太經社會</w:t>
            </w:r>
          </w:p>
        </w:tc>
        <w:tc>
          <w:tcPr>
            <w:tcW w:w="3736" w:type="dxa"/>
            <w:vAlign w:val="center"/>
          </w:tcPr>
          <w:p w:rsidR="00E81887" w:rsidRPr="005C11F2" w:rsidRDefault="001E7D33">
            <w:pPr>
              <w:pStyle w:val="Default"/>
              <w:rPr>
                <w:rFonts w:asciiTheme="minorEastAsia" w:eastAsiaTheme="minorEastAsia" w:hAnsiTheme="minorEastAsia" w:cs="Times New Roman"/>
                <w:color w:val="323232"/>
                <w:sz w:val="21"/>
                <w:szCs w:val="21"/>
              </w:rPr>
            </w:pPr>
            <w:r w:rsidRPr="005C11F2">
              <w:rPr>
                <w:rFonts w:asciiTheme="minorEastAsia" w:eastAsiaTheme="minorEastAsia" w:hAnsiTheme="minorEastAsia" w:hint="eastAsia"/>
                <w:sz w:val="21"/>
                <w:szCs w:val="21"/>
              </w:rPr>
              <w:t>經濟局</w:t>
            </w:r>
          </w:p>
        </w:tc>
      </w:tr>
      <w:tr w:rsidR="00E81887" w:rsidRPr="005C11F2" w:rsidTr="009516EE">
        <w:tc>
          <w:tcPr>
            <w:tcW w:w="4786" w:type="dxa"/>
            <w:vAlign w:val="center"/>
          </w:tcPr>
          <w:p w:rsidR="00E81887" w:rsidRPr="005C11F2" w:rsidRDefault="001E7D33">
            <w:pPr>
              <w:pStyle w:val="Default"/>
              <w:ind w:left="210" w:hangingChars="100" w:hanging="210"/>
              <w:rPr>
                <w:rFonts w:asciiTheme="minorEastAsia" w:eastAsiaTheme="minorEastAsia" w:hAnsiTheme="minorEastAsia" w:cs="Times New Roman"/>
                <w:color w:val="323232"/>
                <w:sz w:val="21"/>
                <w:szCs w:val="21"/>
              </w:rPr>
            </w:pPr>
            <w:r w:rsidRPr="005C11F2">
              <w:rPr>
                <w:rFonts w:asciiTheme="minorEastAsia" w:eastAsiaTheme="minorEastAsia" w:hAnsiTheme="minorEastAsia" w:cs="Times New Roman"/>
                <w:color w:val="323232"/>
                <w:sz w:val="21"/>
                <w:szCs w:val="21"/>
              </w:rPr>
              <w:t>2.</w:t>
            </w:r>
            <w:r w:rsidRPr="005C11F2">
              <w:rPr>
                <w:rFonts w:asciiTheme="minorEastAsia" w:eastAsiaTheme="minorEastAsia" w:hAnsiTheme="minorEastAsia" w:hint="eastAsia"/>
                <w:sz w:val="21"/>
                <w:szCs w:val="21"/>
              </w:rPr>
              <w:t xml:space="preserve"> </w:t>
            </w:r>
            <w:r w:rsidRPr="005C11F2">
              <w:rPr>
                <w:rFonts w:asciiTheme="minorEastAsia" w:eastAsiaTheme="minorEastAsia" w:hAnsiTheme="minorEastAsia" w:hint="eastAsia"/>
                <w:color w:val="323232"/>
                <w:sz w:val="21"/>
                <w:szCs w:val="21"/>
              </w:rPr>
              <w:t>世界知識產權組織版權及相關權常設委員會</w:t>
            </w:r>
          </w:p>
        </w:tc>
        <w:tc>
          <w:tcPr>
            <w:tcW w:w="3736" w:type="dxa"/>
            <w:vAlign w:val="center"/>
          </w:tcPr>
          <w:p w:rsidR="00E81887" w:rsidRPr="005C11F2" w:rsidRDefault="001E7D33">
            <w:pPr>
              <w:pStyle w:val="Default"/>
              <w:rPr>
                <w:rFonts w:asciiTheme="minorEastAsia" w:eastAsiaTheme="minorEastAsia" w:hAnsiTheme="minorEastAsia" w:cs="Times New Roman"/>
                <w:color w:val="323232"/>
                <w:sz w:val="21"/>
                <w:szCs w:val="21"/>
              </w:rPr>
            </w:pPr>
            <w:r w:rsidRPr="005C11F2">
              <w:rPr>
                <w:rFonts w:asciiTheme="minorEastAsia" w:eastAsiaTheme="minorEastAsia" w:hAnsiTheme="minorEastAsia" w:hint="eastAsia"/>
                <w:sz w:val="21"/>
                <w:szCs w:val="21"/>
              </w:rPr>
              <w:t>經濟局</w:t>
            </w:r>
          </w:p>
        </w:tc>
      </w:tr>
      <w:tr w:rsidR="00E81887" w:rsidRPr="005C11F2" w:rsidTr="009516EE">
        <w:tc>
          <w:tcPr>
            <w:tcW w:w="4786" w:type="dxa"/>
            <w:vAlign w:val="center"/>
          </w:tcPr>
          <w:p w:rsidR="00E81887" w:rsidRPr="005C11F2" w:rsidRDefault="001E7D33">
            <w:pPr>
              <w:pStyle w:val="Default"/>
              <w:rPr>
                <w:rFonts w:asciiTheme="minorEastAsia" w:eastAsiaTheme="minorEastAsia" w:hAnsiTheme="minorEastAsia" w:cs="Times New Roman"/>
                <w:color w:val="323232"/>
                <w:sz w:val="21"/>
                <w:szCs w:val="21"/>
              </w:rPr>
            </w:pPr>
            <w:r w:rsidRPr="005C11F2">
              <w:rPr>
                <w:rFonts w:asciiTheme="minorEastAsia" w:eastAsiaTheme="minorEastAsia" w:hAnsiTheme="minorEastAsia" w:cs="Times New Roman"/>
                <w:color w:val="323232"/>
                <w:sz w:val="21"/>
                <w:szCs w:val="21"/>
              </w:rPr>
              <w:t>3.</w:t>
            </w:r>
            <w:r w:rsidRPr="005C11F2">
              <w:rPr>
                <w:rFonts w:asciiTheme="minorEastAsia" w:eastAsiaTheme="minorEastAsia" w:hAnsiTheme="minorEastAsia" w:hint="eastAsia"/>
                <w:sz w:val="21"/>
                <w:szCs w:val="21"/>
              </w:rPr>
              <w:t xml:space="preserve"> </w:t>
            </w:r>
            <w:r w:rsidRPr="005C11F2">
              <w:rPr>
                <w:rFonts w:asciiTheme="minorEastAsia" w:eastAsiaTheme="minorEastAsia" w:hAnsiTheme="minorEastAsia" w:hint="eastAsia"/>
                <w:color w:val="323232"/>
                <w:sz w:val="21"/>
                <w:szCs w:val="21"/>
              </w:rPr>
              <w:t>國際勞工組織</w:t>
            </w:r>
          </w:p>
        </w:tc>
        <w:tc>
          <w:tcPr>
            <w:tcW w:w="3736" w:type="dxa"/>
            <w:vAlign w:val="center"/>
          </w:tcPr>
          <w:p w:rsidR="00E81887" w:rsidRPr="005C11F2" w:rsidRDefault="001E7D33">
            <w:pPr>
              <w:pStyle w:val="Default"/>
              <w:rPr>
                <w:rFonts w:asciiTheme="minorEastAsia" w:eastAsiaTheme="minorEastAsia" w:hAnsiTheme="minorEastAsia" w:cs="Times New Roman"/>
                <w:color w:val="323232"/>
                <w:sz w:val="21"/>
                <w:szCs w:val="21"/>
              </w:rPr>
            </w:pPr>
            <w:r w:rsidRPr="005C11F2">
              <w:rPr>
                <w:rFonts w:asciiTheme="minorEastAsia" w:eastAsiaTheme="minorEastAsia" w:hAnsiTheme="minorEastAsia" w:hint="eastAsia"/>
                <w:sz w:val="21"/>
                <w:szCs w:val="21"/>
              </w:rPr>
              <w:t>勞工事務局</w:t>
            </w:r>
          </w:p>
        </w:tc>
      </w:tr>
      <w:tr w:rsidR="00E81887" w:rsidRPr="005C11F2" w:rsidTr="009516EE">
        <w:tc>
          <w:tcPr>
            <w:tcW w:w="4786" w:type="dxa"/>
            <w:vAlign w:val="center"/>
          </w:tcPr>
          <w:p w:rsidR="00E81887" w:rsidRPr="005C11F2" w:rsidRDefault="001E7D33">
            <w:pPr>
              <w:pStyle w:val="Default"/>
              <w:rPr>
                <w:rFonts w:asciiTheme="minorEastAsia" w:eastAsiaTheme="minorEastAsia" w:hAnsiTheme="minorEastAsia" w:cs="Times New Roman"/>
                <w:color w:val="323232"/>
                <w:sz w:val="21"/>
                <w:szCs w:val="21"/>
              </w:rPr>
            </w:pPr>
            <w:r w:rsidRPr="005C11F2">
              <w:rPr>
                <w:rFonts w:asciiTheme="minorEastAsia" w:eastAsiaTheme="minorEastAsia" w:hAnsiTheme="minorEastAsia" w:cs="Times New Roman"/>
                <w:sz w:val="21"/>
                <w:szCs w:val="21"/>
              </w:rPr>
              <w:t>4.</w:t>
            </w:r>
            <w:r w:rsidRPr="005C11F2">
              <w:rPr>
                <w:rFonts w:asciiTheme="minorEastAsia" w:eastAsiaTheme="minorEastAsia" w:hAnsiTheme="minorEastAsia" w:hint="eastAsia"/>
                <w:sz w:val="21"/>
                <w:szCs w:val="21"/>
              </w:rPr>
              <w:t xml:space="preserve"> 國際貨幣基金組織</w:t>
            </w:r>
          </w:p>
        </w:tc>
        <w:tc>
          <w:tcPr>
            <w:tcW w:w="3736" w:type="dxa"/>
            <w:vAlign w:val="center"/>
          </w:tcPr>
          <w:p w:rsidR="00E81887" w:rsidRPr="005C11F2" w:rsidRDefault="001E7D33">
            <w:pPr>
              <w:pStyle w:val="Default"/>
              <w:rPr>
                <w:rFonts w:asciiTheme="minorEastAsia" w:eastAsiaTheme="minorEastAsia" w:hAnsiTheme="minorEastAsia" w:cs="Times New Roman"/>
                <w:color w:val="323232"/>
                <w:sz w:val="21"/>
                <w:szCs w:val="21"/>
              </w:rPr>
            </w:pPr>
            <w:r w:rsidRPr="005C11F2">
              <w:rPr>
                <w:rFonts w:asciiTheme="minorEastAsia" w:eastAsiaTheme="minorEastAsia" w:hAnsiTheme="minorEastAsia" w:hint="eastAsia"/>
                <w:sz w:val="21"/>
                <w:szCs w:val="21"/>
              </w:rPr>
              <w:t>金融管理局</w:t>
            </w:r>
            <w:r w:rsidRPr="005C11F2">
              <w:rPr>
                <w:rFonts w:asciiTheme="minorEastAsia" w:eastAsiaTheme="minorEastAsia" w:hAnsiTheme="minorEastAsia"/>
                <w:sz w:val="21"/>
                <w:szCs w:val="21"/>
              </w:rPr>
              <w:t xml:space="preserve"> </w:t>
            </w:r>
          </w:p>
        </w:tc>
      </w:tr>
      <w:tr w:rsidR="00E81887" w:rsidRPr="005C11F2" w:rsidTr="009516EE">
        <w:tc>
          <w:tcPr>
            <w:tcW w:w="4786" w:type="dxa"/>
            <w:vAlign w:val="center"/>
          </w:tcPr>
          <w:p w:rsidR="00E81887" w:rsidRPr="005C11F2" w:rsidRDefault="001E7D33">
            <w:pPr>
              <w:pStyle w:val="Default"/>
              <w:rPr>
                <w:rFonts w:asciiTheme="minorEastAsia" w:eastAsiaTheme="minorEastAsia" w:hAnsiTheme="minorEastAsia" w:cs="Times New Roman"/>
                <w:color w:val="323232"/>
                <w:sz w:val="21"/>
                <w:szCs w:val="21"/>
              </w:rPr>
            </w:pPr>
            <w:r w:rsidRPr="005C11F2">
              <w:rPr>
                <w:rFonts w:asciiTheme="minorEastAsia" w:eastAsiaTheme="minorEastAsia" w:hAnsiTheme="minorEastAsia" w:cs="Times New Roman"/>
                <w:sz w:val="21"/>
                <w:szCs w:val="21"/>
              </w:rPr>
              <w:t>5.</w:t>
            </w:r>
            <w:r w:rsidRPr="005C11F2">
              <w:rPr>
                <w:rFonts w:asciiTheme="minorEastAsia" w:eastAsiaTheme="minorEastAsia" w:hAnsiTheme="minorEastAsia" w:hint="eastAsia"/>
                <w:sz w:val="21"/>
                <w:szCs w:val="21"/>
              </w:rPr>
              <w:t xml:space="preserve"> 世界銀行</w:t>
            </w:r>
          </w:p>
        </w:tc>
        <w:tc>
          <w:tcPr>
            <w:tcW w:w="3736" w:type="dxa"/>
            <w:vAlign w:val="center"/>
          </w:tcPr>
          <w:p w:rsidR="00E81887" w:rsidRPr="005C11F2" w:rsidRDefault="001E7D33">
            <w:pPr>
              <w:pStyle w:val="Default"/>
              <w:rPr>
                <w:rFonts w:asciiTheme="minorEastAsia" w:eastAsiaTheme="minorEastAsia" w:hAnsiTheme="minorEastAsia" w:cs="Times New Roman"/>
                <w:color w:val="323232"/>
                <w:sz w:val="21"/>
                <w:szCs w:val="21"/>
              </w:rPr>
            </w:pPr>
            <w:r w:rsidRPr="005C11F2">
              <w:rPr>
                <w:rFonts w:asciiTheme="minorEastAsia" w:eastAsiaTheme="minorEastAsia" w:hAnsiTheme="minorEastAsia" w:hint="eastAsia"/>
                <w:sz w:val="21"/>
                <w:szCs w:val="21"/>
              </w:rPr>
              <w:t>金融管理局</w:t>
            </w:r>
            <w:r w:rsidRPr="005C11F2">
              <w:rPr>
                <w:rFonts w:asciiTheme="minorEastAsia" w:eastAsiaTheme="minorEastAsia" w:hAnsiTheme="minorEastAsia"/>
                <w:sz w:val="21"/>
                <w:szCs w:val="21"/>
              </w:rPr>
              <w:t xml:space="preserve"> </w:t>
            </w:r>
          </w:p>
        </w:tc>
      </w:tr>
      <w:tr w:rsidR="00E81887" w:rsidRPr="005C11F2" w:rsidTr="009516EE">
        <w:tc>
          <w:tcPr>
            <w:tcW w:w="4786" w:type="dxa"/>
            <w:vAlign w:val="center"/>
          </w:tcPr>
          <w:p w:rsidR="00E81887" w:rsidRPr="005C11F2" w:rsidRDefault="001E7D33">
            <w:pPr>
              <w:pStyle w:val="Default"/>
              <w:rPr>
                <w:rFonts w:asciiTheme="minorEastAsia" w:eastAsiaTheme="minorEastAsia" w:hAnsiTheme="minorEastAsia"/>
                <w:color w:val="323232"/>
                <w:sz w:val="21"/>
                <w:szCs w:val="21"/>
              </w:rPr>
            </w:pPr>
            <w:r w:rsidRPr="005C11F2">
              <w:rPr>
                <w:rFonts w:asciiTheme="minorEastAsia" w:eastAsiaTheme="minorEastAsia" w:hAnsiTheme="minorEastAsia" w:cs="Times New Roman"/>
                <w:sz w:val="21"/>
                <w:szCs w:val="21"/>
              </w:rPr>
              <w:t>6.</w:t>
            </w:r>
            <w:r w:rsidRPr="005C11F2">
              <w:rPr>
                <w:rFonts w:asciiTheme="minorEastAsia" w:eastAsiaTheme="minorEastAsia" w:hAnsiTheme="minorEastAsia" w:hint="eastAsia"/>
                <w:sz w:val="21"/>
                <w:szCs w:val="21"/>
              </w:rPr>
              <w:t xml:space="preserve"> 國際刑警組織</w:t>
            </w:r>
          </w:p>
        </w:tc>
        <w:tc>
          <w:tcPr>
            <w:tcW w:w="3736" w:type="dxa"/>
            <w:vAlign w:val="center"/>
          </w:tcPr>
          <w:p w:rsidR="00E81887" w:rsidRPr="005C11F2" w:rsidRDefault="001E7D33">
            <w:pPr>
              <w:pStyle w:val="Default"/>
              <w:rPr>
                <w:rFonts w:asciiTheme="minorEastAsia" w:eastAsiaTheme="minorEastAsia" w:hAnsiTheme="minorEastAsia" w:cs="Times New Roman"/>
                <w:color w:val="323232"/>
                <w:sz w:val="21"/>
                <w:szCs w:val="21"/>
              </w:rPr>
            </w:pPr>
            <w:r w:rsidRPr="005C11F2">
              <w:rPr>
                <w:rFonts w:asciiTheme="minorEastAsia" w:eastAsiaTheme="minorEastAsia" w:hAnsiTheme="minorEastAsia" w:hint="eastAsia"/>
                <w:sz w:val="21"/>
                <w:szCs w:val="21"/>
              </w:rPr>
              <w:t>司法警察局</w:t>
            </w:r>
            <w:r w:rsidRPr="005C11F2">
              <w:rPr>
                <w:rFonts w:asciiTheme="minorEastAsia" w:eastAsiaTheme="minorEastAsia" w:hAnsiTheme="minorEastAsia"/>
                <w:sz w:val="21"/>
                <w:szCs w:val="21"/>
              </w:rPr>
              <w:t xml:space="preserve"> </w:t>
            </w:r>
          </w:p>
        </w:tc>
      </w:tr>
      <w:tr w:rsidR="00E81887" w:rsidRPr="005C11F2" w:rsidTr="009516EE">
        <w:tc>
          <w:tcPr>
            <w:tcW w:w="4786" w:type="dxa"/>
            <w:vAlign w:val="center"/>
          </w:tcPr>
          <w:p w:rsidR="00E81887" w:rsidRPr="005C11F2" w:rsidRDefault="001E7D33">
            <w:pPr>
              <w:pStyle w:val="Default"/>
              <w:rPr>
                <w:rFonts w:asciiTheme="minorEastAsia" w:eastAsiaTheme="minorEastAsia" w:hAnsiTheme="minorEastAsia"/>
                <w:color w:val="323232"/>
                <w:sz w:val="21"/>
                <w:szCs w:val="21"/>
              </w:rPr>
            </w:pPr>
            <w:r w:rsidRPr="005C11F2">
              <w:rPr>
                <w:rFonts w:asciiTheme="minorEastAsia" w:eastAsiaTheme="minorEastAsia" w:hAnsiTheme="minorEastAsia" w:cs="Times New Roman"/>
                <w:sz w:val="21"/>
                <w:szCs w:val="21"/>
              </w:rPr>
              <w:t>7.</w:t>
            </w:r>
            <w:r w:rsidRPr="005C11F2">
              <w:rPr>
                <w:rFonts w:asciiTheme="minorEastAsia" w:eastAsiaTheme="minorEastAsia" w:hAnsiTheme="minorEastAsia" w:hint="eastAsia"/>
                <w:sz w:val="21"/>
                <w:szCs w:val="21"/>
              </w:rPr>
              <w:t xml:space="preserve"> 聯合國麻醉藥品委員會</w:t>
            </w:r>
          </w:p>
        </w:tc>
        <w:tc>
          <w:tcPr>
            <w:tcW w:w="3736" w:type="dxa"/>
            <w:vAlign w:val="center"/>
          </w:tcPr>
          <w:p w:rsidR="00E81887" w:rsidRPr="005C11F2" w:rsidRDefault="001E7D33">
            <w:pPr>
              <w:pStyle w:val="Default"/>
              <w:rPr>
                <w:rFonts w:asciiTheme="minorEastAsia" w:eastAsiaTheme="minorEastAsia" w:hAnsiTheme="minorEastAsia" w:cs="Times New Roman"/>
                <w:color w:val="323232"/>
                <w:sz w:val="21"/>
                <w:szCs w:val="21"/>
              </w:rPr>
            </w:pPr>
            <w:r w:rsidRPr="005C11F2">
              <w:rPr>
                <w:rFonts w:asciiTheme="minorEastAsia" w:eastAsiaTheme="minorEastAsia" w:hAnsiTheme="minorEastAsia" w:hint="eastAsia"/>
                <w:sz w:val="21"/>
                <w:szCs w:val="21"/>
              </w:rPr>
              <w:t>司法警察局社會工作局</w:t>
            </w:r>
          </w:p>
        </w:tc>
      </w:tr>
      <w:tr w:rsidR="00E81887" w:rsidRPr="005C11F2" w:rsidTr="009516EE">
        <w:tc>
          <w:tcPr>
            <w:tcW w:w="4786" w:type="dxa"/>
            <w:vAlign w:val="center"/>
          </w:tcPr>
          <w:p w:rsidR="00E81887" w:rsidRPr="005C11F2" w:rsidRDefault="001E7D33">
            <w:pPr>
              <w:pStyle w:val="Default"/>
              <w:rPr>
                <w:rFonts w:asciiTheme="minorEastAsia" w:eastAsiaTheme="minorEastAsia" w:hAnsiTheme="minorEastAsia" w:cs="Times New Roman"/>
                <w:color w:val="323232"/>
                <w:sz w:val="21"/>
                <w:szCs w:val="21"/>
              </w:rPr>
            </w:pPr>
            <w:r w:rsidRPr="005C11F2">
              <w:rPr>
                <w:rFonts w:asciiTheme="minorEastAsia" w:eastAsiaTheme="minorEastAsia" w:hAnsiTheme="minorEastAsia" w:cs="Times New Roman"/>
                <w:sz w:val="21"/>
                <w:szCs w:val="21"/>
              </w:rPr>
              <w:t>8.</w:t>
            </w:r>
            <w:r w:rsidRPr="005C11F2">
              <w:rPr>
                <w:rFonts w:asciiTheme="minorEastAsia" w:eastAsiaTheme="minorEastAsia" w:hAnsiTheme="minorEastAsia" w:hint="eastAsia"/>
                <w:sz w:val="21"/>
                <w:szCs w:val="21"/>
              </w:rPr>
              <w:t xml:space="preserve"> 亞太地區禁毒執法機構負責人會議</w:t>
            </w:r>
          </w:p>
        </w:tc>
        <w:tc>
          <w:tcPr>
            <w:tcW w:w="3736" w:type="dxa"/>
            <w:vAlign w:val="center"/>
          </w:tcPr>
          <w:p w:rsidR="00E81887" w:rsidRPr="005C11F2" w:rsidRDefault="001E7D33">
            <w:pPr>
              <w:pStyle w:val="Default"/>
              <w:rPr>
                <w:rFonts w:asciiTheme="minorEastAsia" w:eastAsiaTheme="minorEastAsia" w:hAnsiTheme="minorEastAsia" w:cs="Times New Roman"/>
                <w:color w:val="323232"/>
                <w:sz w:val="21"/>
                <w:szCs w:val="21"/>
              </w:rPr>
            </w:pPr>
            <w:r w:rsidRPr="005C11F2">
              <w:rPr>
                <w:rFonts w:asciiTheme="minorEastAsia" w:eastAsiaTheme="minorEastAsia" w:hAnsiTheme="minorEastAsia" w:hint="eastAsia"/>
                <w:sz w:val="21"/>
                <w:szCs w:val="21"/>
              </w:rPr>
              <w:t>司法警察局</w:t>
            </w:r>
            <w:r w:rsidRPr="005C11F2">
              <w:rPr>
                <w:rFonts w:asciiTheme="minorEastAsia" w:eastAsiaTheme="minorEastAsia" w:hAnsiTheme="minorEastAsia"/>
                <w:sz w:val="21"/>
                <w:szCs w:val="21"/>
              </w:rPr>
              <w:t xml:space="preserve"> </w:t>
            </w:r>
          </w:p>
        </w:tc>
      </w:tr>
      <w:tr w:rsidR="00E81887" w:rsidRPr="005C11F2" w:rsidTr="009516EE">
        <w:tc>
          <w:tcPr>
            <w:tcW w:w="4786" w:type="dxa"/>
            <w:vAlign w:val="center"/>
          </w:tcPr>
          <w:p w:rsidR="00E81887" w:rsidRPr="005C11F2" w:rsidRDefault="001E7D33">
            <w:pPr>
              <w:pStyle w:val="Default"/>
              <w:rPr>
                <w:rFonts w:asciiTheme="minorEastAsia" w:eastAsiaTheme="minorEastAsia" w:hAnsiTheme="minorEastAsia" w:cs="Times New Roman"/>
                <w:color w:val="323232"/>
                <w:sz w:val="21"/>
                <w:szCs w:val="21"/>
              </w:rPr>
            </w:pPr>
            <w:r w:rsidRPr="005C11F2">
              <w:rPr>
                <w:rFonts w:asciiTheme="minorEastAsia" w:eastAsiaTheme="minorEastAsia" w:hAnsiTheme="minorEastAsia" w:cs="Times New Roman"/>
                <w:sz w:val="21"/>
                <w:szCs w:val="21"/>
              </w:rPr>
              <w:t>9.</w:t>
            </w:r>
            <w:r w:rsidRPr="005C11F2">
              <w:rPr>
                <w:rFonts w:asciiTheme="minorEastAsia" w:eastAsiaTheme="minorEastAsia" w:hAnsiTheme="minorEastAsia" w:hint="eastAsia"/>
                <w:sz w:val="21"/>
                <w:szCs w:val="21"/>
              </w:rPr>
              <w:t xml:space="preserve"> 世界衛生組織西太平洋區域委員會</w:t>
            </w:r>
          </w:p>
        </w:tc>
        <w:tc>
          <w:tcPr>
            <w:tcW w:w="3736" w:type="dxa"/>
            <w:vAlign w:val="center"/>
          </w:tcPr>
          <w:p w:rsidR="00E81887" w:rsidRPr="005C11F2" w:rsidRDefault="001E7D33">
            <w:pPr>
              <w:pStyle w:val="Default"/>
              <w:rPr>
                <w:rFonts w:asciiTheme="minorEastAsia" w:eastAsiaTheme="minorEastAsia" w:hAnsiTheme="minorEastAsia" w:cs="Times New Roman"/>
                <w:color w:val="323232"/>
                <w:sz w:val="21"/>
                <w:szCs w:val="21"/>
              </w:rPr>
            </w:pPr>
            <w:r w:rsidRPr="005C11F2">
              <w:rPr>
                <w:rFonts w:asciiTheme="minorEastAsia" w:eastAsiaTheme="minorEastAsia" w:hAnsiTheme="minorEastAsia" w:hint="eastAsia"/>
                <w:sz w:val="21"/>
                <w:szCs w:val="21"/>
              </w:rPr>
              <w:t>衛生局</w:t>
            </w:r>
            <w:r w:rsidRPr="005C11F2">
              <w:rPr>
                <w:rFonts w:asciiTheme="minorEastAsia" w:eastAsiaTheme="minorEastAsia" w:hAnsiTheme="minorEastAsia" w:cs="Times New Roman"/>
                <w:color w:val="323232"/>
                <w:sz w:val="21"/>
                <w:szCs w:val="21"/>
              </w:rPr>
              <w:t xml:space="preserve"> </w:t>
            </w:r>
          </w:p>
        </w:tc>
      </w:tr>
      <w:tr w:rsidR="00E81887" w:rsidRPr="005C11F2" w:rsidTr="009516EE">
        <w:tc>
          <w:tcPr>
            <w:tcW w:w="4786" w:type="dxa"/>
            <w:vAlign w:val="center"/>
          </w:tcPr>
          <w:p w:rsidR="00E81887" w:rsidRPr="005C11F2" w:rsidRDefault="001E7D33">
            <w:pPr>
              <w:pStyle w:val="Default"/>
              <w:rPr>
                <w:rFonts w:asciiTheme="minorEastAsia" w:eastAsiaTheme="minorEastAsia" w:hAnsiTheme="minorEastAsia" w:cs="Times New Roman"/>
                <w:color w:val="323232"/>
                <w:sz w:val="21"/>
                <w:szCs w:val="21"/>
              </w:rPr>
            </w:pPr>
            <w:r w:rsidRPr="005C11F2">
              <w:rPr>
                <w:rFonts w:asciiTheme="minorEastAsia" w:eastAsiaTheme="minorEastAsia" w:hAnsiTheme="minorEastAsia" w:cs="Times New Roman"/>
                <w:sz w:val="21"/>
                <w:szCs w:val="21"/>
              </w:rPr>
              <w:t>10.</w:t>
            </w:r>
            <w:r w:rsidRPr="005C11F2">
              <w:rPr>
                <w:rFonts w:asciiTheme="minorEastAsia" w:eastAsiaTheme="minorEastAsia" w:hAnsiTheme="minorEastAsia" w:hint="eastAsia"/>
                <w:sz w:val="21"/>
                <w:szCs w:val="21"/>
              </w:rPr>
              <w:t xml:space="preserve"> 聯合國教科文組織</w:t>
            </w:r>
          </w:p>
        </w:tc>
        <w:tc>
          <w:tcPr>
            <w:tcW w:w="3736" w:type="dxa"/>
            <w:vAlign w:val="center"/>
          </w:tcPr>
          <w:p w:rsidR="00E81887" w:rsidRPr="005C11F2" w:rsidRDefault="001E7D33">
            <w:pPr>
              <w:pStyle w:val="Default"/>
              <w:rPr>
                <w:rFonts w:asciiTheme="minorEastAsia" w:eastAsiaTheme="minorEastAsia" w:hAnsiTheme="minorEastAsia" w:cs="Times New Roman"/>
                <w:color w:val="323232"/>
                <w:sz w:val="21"/>
                <w:szCs w:val="21"/>
              </w:rPr>
            </w:pPr>
            <w:r w:rsidRPr="005C11F2">
              <w:rPr>
                <w:rFonts w:asciiTheme="minorEastAsia" w:eastAsiaTheme="minorEastAsia" w:hAnsiTheme="minorEastAsia" w:hint="eastAsia"/>
                <w:sz w:val="21"/>
                <w:szCs w:val="21"/>
              </w:rPr>
              <w:t>教育暨青年局</w:t>
            </w:r>
            <w:r w:rsidRPr="005C11F2">
              <w:rPr>
                <w:rFonts w:asciiTheme="minorEastAsia" w:eastAsiaTheme="minorEastAsia" w:hAnsiTheme="minorEastAsia" w:cs="Times New Roman"/>
                <w:color w:val="323232"/>
                <w:sz w:val="21"/>
                <w:szCs w:val="21"/>
              </w:rPr>
              <w:t xml:space="preserve"> </w:t>
            </w:r>
          </w:p>
        </w:tc>
      </w:tr>
      <w:tr w:rsidR="00E81887" w:rsidRPr="005C11F2" w:rsidTr="009516EE">
        <w:tc>
          <w:tcPr>
            <w:tcW w:w="4786" w:type="dxa"/>
            <w:vAlign w:val="center"/>
          </w:tcPr>
          <w:p w:rsidR="00E81887" w:rsidRPr="005C11F2" w:rsidRDefault="001E7D33">
            <w:pPr>
              <w:pStyle w:val="Default"/>
              <w:rPr>
                <w:rFonts w:asciiTheme="minorEastAsia" w:eastAsiaTheme="minorEastAsia" w:hAnsiTheme="minorEastAsia"/>
                <w:color w:val="323232"/>
                <w:sz w:val="21"/>
                <w:szCs w:val="21"/>
              </w:rPr>
            </w:pPr>
            <w:r w:rsidRPr="005C11F2">
              <w:rPr>
                <w:rFonts w:asciiTheme="minorEastAsia" w:eastAsiaTheme="minorEastAsia" w:hAnsiTheme="minorEastAsia" w:cs="Times New Roman"/>
                <w:sz w:val="21"/>
                <w:szCs w:val="21"/>
              </w:rPr>
              <w:t>11.</w:t>
            </w:r>
            <w:r w:rsidRPr="005C11F2">
              <w:rPr>
                <w:rFonts w:asciiTheme="minorEastAsia" w:eastAsiaTheme="minorEastAsia" w:hAnsiTheme="minorEastAsia" w:hint="eastAsia"/>
                <w:sz w:val="21"/>
                <w:szCs w:val="21"/>
              </w:rPr>
              <w:t xml:space="preserve"> 國際海道測量組織</w:t>
            </w:r>
          </w:p>
        </w:tc>
        <w:tc>
          <w:tcPr>
            <w:tcW w:w="3736" w:type="dxa"/>
            <w:vAlign w:val="center"/>
          </w:tcPr>
          <w:p w:rsidR="00E81887" w:rsidRPr="005C11F2" w:rsidRDefault="001E7D33">
            <w:pPr>
              <w:pStyle w:val="Default"/>
              <w:rPr>
                <w:rFonts w:asciiTheme="minorEastAsia" w:eastAsiaTheme="minorEastAsia" w:hAnsiTheme="minorEastAsia" w:cs="Times New Roman"/>
                <w:color w:val="323232"/>
                <w:sz w:val="21"/>
                <w:szCs w:val="21"/>
              </w:rPr>
            </w:pPr>
            <w:r w:rsidRPr="005C11F2">
              <w:rPr>
                <w:rFonts w:asciiTheme="minorEastAsia" w:eastAsiaTheme="minorEastAsia" w:hAnsiTheme="minorEastAsia" w:hint="eastAsia"/>
                <w:sz w:val="21"/>
                <w:szCs w:val="21"/>
              </w:rPr>
              <w:t>海事及水務局</w:t>
            </w:r>
            <w:r w:rsidRPr="005C11F2">
              <w:rPr>
                <w:rFonts w:asciiTheme="minorEastAsia" w:eastAsiaTheme="minorEastAsia" w:hAnsiTheme="minorEastAsia"/>
                <w:sz w:val="21"/>
                <w:szCs w:val="21"/>
              </w:rPr>
              <w:t xml:space="preserve"> </w:t>
            </w:r>
          </w:p>
        </w:tc>
      </w:tr>
      <w:tr w:rsidR="00E81887" w:rsidRPr="005C11F2" w:rsidTr="009516EE">
        <w:tc>
          <w:tcPr>
            <w:tcW w:w="4786" w:type="dxa"/>
            <w:vAlign w:val="center"/>
          </w:tcPr>
          <w:p w:rsidR="00E81887" w:rsidRPr="005C11F2" w:rsidRDefault="001E7D33">
            <w:pPr>
              <w:pStyle w:val="Default"/>
              <w:rPr>
                <w:rFonts w:asciiTheme="minorEastAsia" w:eastAsiaTheme="minorEastAsia" w:hAnsiTheme="minorEastAsia" w:cs="Times New Roman"/>
                <w:color w:val="323232"/>
                <w:sz w:val="21"/>
                <w:szCs w:val="21"/>
              </w:rPr>
            </w:pPr>
            <w:r w:rsidRPr="005C11F2">
              <w:rPr>
                <w:rFonts w:asciiTheme="minorEastAsia" w:eastAsiaTheme="minorEastAsia" w:hAnsiTheme="minorEastAsia" w:cs="Times New Roman"/>
                <w:sz w:val="21"/>
                <w:szCs w:val="21"/>
              </w:rPr>
              <w:t>12.</w:t>
            </w:r>
            <w:r w:rsidRPr="005C11F2">
              <w:rPr>
                <w:rFonts w:asciiTheme="minorEastAsia" w:eastAsiaTheme="minorEastAsia" w:hAnsiTheme="minorEastAsia" w:hint="eastAsia"/>
                <w:sz w:val="21"/>
                <w:szCs w:val="21"/>
              </w:rPr>
              <w:t xml:space="preserve"> 東亞海道測量委員會</w:t>
            </w:r>
          </w:p>
        </w:tc>
        <w:tc>
          <w:tcPr>
            <w:tcW w:w="3736" w:type="dxa"/>
            <w:vAlign w:val="center"/>
          </w:tcPr>
          <w:p w:rsidR="00E81887" w:rsidRPr="005C11F2" w:rsidRDefault="001E7D33">
            <w:pPr>
              <w:pStyle w:val="Default"/>
              <w:rPr>
                <w:rFonts w:asciiTheme="minorEastAsia" w:eastAsiaTheme="minorEastAsia" w:hAnsiTheme="minorEastAsia" w:cs="Times New Roman"/>
                <w:color w:val="323232"/>
                <w:sz w:val="21"/>
                <w:szCs w:val="21"/>
              </w:rPr>
            </w:pPr>
            <w:r w:rsidRPr="005C11F2">
              <w:rPr>
                <w:rFonts w:asciiTheme="minorEastAsia" w:eastAsiaTheme="minorEastAsia" w:hAnsiTheme="minorEastAsia" w:hint="eastAsia"/>
                <w:sz w:val="21"/>
                <w:szCs w:val="21"/>
              </w:rPr>
              <w:t>海事及水務局</w:t>
            </w:r>
            <w:r w:rsidRPr="005C11F2">
              <w:rPr>
                <w:rFonts w:asciiTheme="minorEastAsia" w:eastAsiaTheme="minorEastAsia" w:hAnsiTheme="minorEastAsia"/>
                <w:sz w:val="21"/>
                <w:szCs w:val="21"/>
              </w:rPr>
              <w:t xml:space="preserve"> </w:t>
            </w:r>
          </w:p>
        </w:tc>
      </w:tr>
      <w:tr w:rsidR="00E81887" w:rsidRPr="005C11F2" w:rsidTr="009516EE">
        <w:tc>
          <w:tcPr>
            <w:tcW w:w="4786" w:type="dxa"/>
            <w:vAlign w:val="center"/>
          </w:tcPr>
          <w:p w:rsidR="00E81887" w:rsidRPr="005C11F2" w:rsidRDefault="001E7D33">
            <w:pPr>
              <w:pStyle w:val="Default"/>
              <w:rPr>
                <w:rFonts w:asciiTheme="minorEastAsia" w:eastAsiaTheme="minorEastAsia" w:hAnsiTheme="minorEastAsia" w:cs="Times New Roman"/>
                <w:color w:val="323232"/>
                <w:sz w:val="21"/>
                <w:szCs w:val="21"/>
              </w:rPr>
            </w:pPr>
            <w:r w:rsidRPr="005C11F2">
              <w:rPr>
                <w:rFonts w:asciiTheme="minorEastAsia" w:eastAsiaTheme="minorEastAsia" w:hAnsiTheme="minorEastAsia" w:cs="Times New Roman"/>
                <w:sz w:val="21"/>
                <w:szCs w:val="21"/>
              </w:rPr>
              <w:t>13.</w:t>
            </w:r>
            <w:r w:rsidRPr="005C11F2">
              <w:rPr>
                <w:rFonts w:asciiTheme="minorEastAsia" w:eastAsiaTheme="minorEastAsia" w:hAnsiTheme="minorEastAsia" w:hint="eastAsia"/>
                <w:sz w:val="21"/>
                <w:szCs w:val="21"/>
              </w:rPr>
              <w:t xml:space="preserve"> 萬國郵政聯盟</w:t>
            </w:r>
          </w:p>
        </w:tc>
        <w:tc>
          <w:tcPr>
            <w:tcW w:w="3736" w:type="dxa"/>
            <w:vAlign w:val="center"/>
          </w:tcPr>
          <w:p w:rsidR="00E81887" w:rsidRPr="005C11F2" w:rsidRDefault="001E7D33">
            <w:pPr>
              <w:spacing w:after="0" w:line="240" w:lineRule="auto"/>
              <w:jc w:val="left"/>
              <w:rPr>
                <w:rFonts w:asciiTheme="minorEastAsia" w:hAnsiTheme="minorEastAsia"/>
                <w:szCs w:val="21"/>
              </w:rPr>
            </w:pPr>
            <w:r w:rsidRPr="005C11F2">
              <w:rPr>
                <w:rFonts w:asciiTheme="minorEastAsia" w:hAnsiTheme="minorEastAsia" w:hint="eastAsia"/>
                <w:szCs w:val="21"/>
              </w:rPr>
              <w:t>郵電局</w:t>
            </w:r>
          </w:p>
        </w:tc>
      </w:tr>
      <w:tr w:rsidR="00E81887" w:rsidRPr="005C11F2" w:rsidTr="009516EE">
        <w:tc>
          <w:tcPr>
            <w:tcW w:w="4786" w:type="dxa"/>
            <w:vAlign w:val="center"/>
          </w:tcPr>
          <w:p w:rsidR="00E81887" w:rsidRPr="005C11F2" w:rsidRDefault="001E7D33">
            <w:pPr>
              <w:pStyle w:val="Default"/>
              <w:rPr>
                <w:rFonts w:asciiTheme="minorEastAsia" w:eastAsiaTheme="minorEastAsia" w:hAnsiTheme="minorEastAsia" w:cs="Times New Roman"/>
                <w:color w:val="323232"/>
                <w:sz w:val="21"/>
                <w:szCs w:val="21"/>
              </w:rPr>
            </w:pPr>
            <w:r w:rsidRPr="005C11F2">
              <w:rPr>
                <w:rFonts w:asciiTheme="minorEastAsia" w:eastAsiaTheme="minorEastAsia" w:hAnsiTheme="minorEastAsia" w:cs="Times New Roman"/>
                <w:sz w:val="21"/>
                <w:szCs w:val="21"/>
              </w:rPr>
              <w:t>14.</w:t>
            </w:r>
            <w:r w:rsidRPr="005C11F2">
              <w:rPr>
                <w:rFonts w:asciiTheme="minorEastAsia" w:eastAsiaTheme="minorEastAsia" w:hAnsiTheme="minorEastAsia" w:hint="eastAsia"/>
                <w:sz w:val="21"/>
                <w:szCs w:val="21"/>
              </w:rPr>
              <w:t xml:space="preserve"> </w:t>
            </w:r>
            <w:r w:rsidRPr="005C11F2">
              <w:rPr>
                <w:rFonts w:asciiTheme="minorEastAsia" w:eastAsiaTheme="minorEastAsia" w:hAnsiTheme="minorEastAsia" w:cs="Times New Roman" w:hint="eastAsia"/>
                <w:sz w:val="21"/>
                <w:szCs w:val="21"/>
              </w:rPr>
              <w:t>亞太郵政聯盟</w:t>
            </w:r>
            <w:r w:rsidRPr="005C11F2">
              <w:rPr>
                <w:rFonts w:asciiTheme="minorEastAsia" w:eastAsiaTheme="minorEastAsia" w:hAnsiTheme="minorEastAsia" w:cs="Times New Roman"/>
                <w:color w:val="323232"/>
                <w:sz w:val="21"/>
                <w:szCs w:val="21"/>
              </w:rPr>
              <w:t xml:space="preserve"> </w:t>
            </w:r>
          </w:p>
        </w:tc>
        <w:tc>
          <w:tcPr>
            <w:tcW w:w="3736" w:type="dxa"/>
            <w:vAlign w:val="center"/>
          </w:tcPr>
          <w:p w:rsidR="00E81887" w:rsidRPr="005C11F2" w:rsidRDefault="001E7D33">
            <w:pPr>
              <w:spacing w:after="0" w:line="240" w:lineRule="auto"/>
              <w:jc w:val="left"/>
              <w:rPr>
                <w:rFonts w:asciiTheme="minorEastAsia" w:hAnsiTheme="minorEastAsia"/>
                <w:szCs w:val="21"/>
              </w:rPr>
            </w:pPr>
            <w:r w:rsidRPr="005C11F2">
              <w:rPr>
                <w:rFonts w:asciiTheme="minorEastAsia" w:hAnsiTheme="minorEastAsia" w:hint="eastAsia"/>
                <w:szCs w:val="21"/>
              </w:rPr>
              <w:t>郵電局</w:t>
            </w:r>
          </w:p>
        </w:tc>
      </w:tr>
      <w:tr w:rsidR="00E81887" w:rsidRPr="005C11F2" w:rsidTr="009516EE">
        <w:tc>
          <w:tcPr>
            <w:tcW w:w="4786" w:type="dxa"/>
            <w:vAlign w:val="center"/>
          </w:tcPr>
          <w:p w:rsidR="00E81887" w:rsidRPr="005C11F2" w:rsidRDefault="001E7D33">
            <w:pPr>
              <w:pStyle w:val="Default"/>
              <w:rPr>
                <w:rFonts w:asciiTheme="minorEastAsia" w:eastAsiaTheme="minorEastAsia" w:hAnsiTheme="minorEastAsia" w:cs="Times New Roman"/>
                <w:color w:val="323232"/>
                <w:sz w:val="21"/>
                <w:szCs w:val="21"/>
              </w:rPr>
            </w:pPr>
            <w:r w:rsidRPr="005C11F2">
              <w:rPr>
                <w:rFonts w:asciiTheme="minorEastAsia" w:eastAsiaTheme="minorEastAsia" w:hAnsiTheme="minorEastAsia" w:cs="Times New Roman"/>
                <w:sz w:val="21"/>
                <w:szCs w:val="21"/>
              </w:rPr>
              <w:t>15.</w:t>
            </w:r>
            <w:r w:rsidRPr="005C11F2">
              <w:rPr>
                <w:rFonts w:asciiTheme="minorEastAsia" w:eastAsiaTheme="minorEastAsia" w:hAnsiTheme="minorEastAsia" w:hint="eastAsia"/>
                <w:sz w:val="21"/>
                <w:szCs w:val="21"/>
              </w:rPr>
              <w:t xml:space="preserve"> 國際電信聯盟</w:t>
            </w:r>
          </w:p>
        </w:tc>
        <w:tc>
          <w:tcPr>
            <w:tcW w:w="3736" w:type="dxa"/>
            <w:vAlign w:val="center"/>
          </w:tcPr>
          <w:p w:rsidR="00E81887" w:rsidRPr="005C11F2" w:rsidRDefault="001E7D33">
            <w:pPr>
              <w:spacing w:after="0" w:line="240" w:lineRule="auto"/>
              <w:jc w:val="left"/>
              <w:rPr>
                <w:rFonts w:asciiTheme="minorEastAsia" w:hAnsiTheme="minorEastAsia"/>
                <w:szCs w:val="21"/>
              </w:rPr>
            </w:pPr>
            <w:r w:rsidRPr="005C11F2">
              <w:rPr>
                <w:rFonts w:asciiTheme="minorEastAsia" w:hAnsiTheme="minorEastAsia" w:hint="eastAsia"/>
                <w:szCs w:val="21"/>
              </w:rPr>
              <w:t>郵電局</w:t>
            </w:r>
          </w:p>
        </w:tc>
      </w:tr>
      <w:tr w:rsidR="00E81887" w:rsidRPr="005C11F2" w:rsidTr="009516EE">
        <w:tc>
          <w:tcPr>
            <w:tcW w:w="4786" w:type="dxa"/>
            <w:vAlign w:val="center"/>
          </w:tcPr>
          <w:p w:rsidR="00E81887" w:rsidRPr="005C11F2" w:rsidRDefault="001E7D33">
            <w:pPr>
              <w:pStyle w:val="Default"/>
              <w:rPr>
                <w:rFonts w:asciiTheme="minorEastAsia" w:eastAsiaTheme="minorEastAsia" w:hAnsiTheme="minorEastAsia" w:cs="Times New Roman"/>
                <w:color w:val="323232"/>
                <w:sz w:val="21"/>
                <w:szCs w:val="21"/>
              </w:rPr>
            </w:pPr>
            <w:r w:rsidRPr="005C11F2">
              <w:rPr>
                <w:rFonts w:asciiTheme="minorEastAsia" w:eastAsiaTheme="minorEastAsia" w:hAnsiTheme="minorEastAsia" w:cs="Times New Roman"/>
                <w:sz w:val="21"/>
                <w:szCs w:val="21"/>
              </w:rPr>
              <w:t>16.</w:t>
            </w:r>
            <w:r w:rsidRPr="005C11F2">
              <w:rPr>
                <w:rFonts w:asciiTheme="minorEastAsia" w:eastAsiaTheme="minorEastAsia" w:hAnsiTheme="minorEastAsia" w:hint="eastAsia"/>
                <w:sz w:val="21"/>
                <w:szCs w:val="21"/>
              </w:rPr>
              <w:t xml:space="preserve"> 亞太電信組織</w:t>
            </w:r>
          </w:p>
        </w:tc>
        <w:tc>
          <w:tcPr>
            <w:tcW w:w="3736" w:type="dxa"/>
            <w:vAlign w:val="center"/>
          </w:tcPr>
          <w:p w:rsidR="00E81887" w:rsidRPr="005C11F2" w:rsidRDefault="001E7D33">
            <w:pPr>
              <w:spacing w:after="0" w:line="240" w:lineRule="auto"/>
              <w:jc w:val="left"/>
              <w:rPr>
                <w:rFonts w:asciiTheme="minorEastAsia" w:hAnsiTheme="minorEastAsia"/>
                <w:szCs w:val="21"/>
              </w:rPr>
            </w:pPr>
            <w:r w:rsidRPr="005C11F2">
              <w:rPr>
                <w:rFonts w:asciiTheme="minorEastAsia" w:hAnsiTheme="minorEastAsia" w:hint="eastAsia"/>
                <w:szCs w:val="21"/>
              </w:rPr>
              <w:t>郵電局</w:t>
            </w:r>
          </w:p>
        </w:tc>
      </w:tr>
      <w:tr w:rsidR="00E81887" w:rsidRPr="005C11F2" w:rsidTr="009516EE">
        <w:trPr>
          <w:trHeight w:val="77"/>
        </w:trPr>
        <w:tc>
          <w:tcPr>
            <w:tcW w:w="4786" w:type="dxa"/>
            <w:vAlign w:val="center"/>
          </w:tcPr>
          <w:p w:rsidR="00E81887" w:rsidRPr="005C11F2" w:rsidRDefault="001E7D33">
            <w:pPr>
              <w:pStyle w:val="Default"/>
              <w:rPr>
                <w:rFonts w:asciiTheme="minorEastAsia" w:eastAsiaTheme="minorEastAsia" w:hAnsiTheme="minorEastAsia"/>
                <w:color w:val="323232"/>
                <w:sz w:val="21"/>
                <w:szCs w:val="21"/>
              </w:rPr>
            </w:pPr>
            <w:r w:rsidRPr="005C11F2">
              <w:rPr>
                <w:rFonts w:asciiTheme="minorEastAsia" w:eastAsiaTheme="minorEastAsia" w:hAnsiTheme="minorEastAsia" w:cs="Times New Roman"/>
                <w:sz w:val="21"/>
                <w:szCs w:val="21"/>
              </w:rPr>
              <w:t>17.</w:t>
            </w:r>
            <w:r w:rsidRPr="005C11F2">
              <w:rPr>
                <w:rFonts w:asciiTheme="minorEastAsia" w:eastAsiaTheme="minorEastAsia" w:hAnsiTheme="minorEastAsia" w:hint="eastAsia"/>
                <w:sz w:val="21"/>
                <w:szCs w:val="21"/>
              </w:rPr>
              <w:t xml:space="preserve"> 國際民航組織</w:t>
            </w:r>
          </w:p>
        </w:tc>
        <w:tc>
          <w:tcPr>
            <w:tcW w:w="3736" w:type="dxa"/>
            <w:vAlign w:val="center"/>
          </w:tcPr>
          <w:p w:rsidR="00E81887" w:rsidRPr="005C11F2" w:rsidRDefault="001E7D33">
            <w:pPr>
              <w:pStyle w:val="Default"/>
              <w:rPr>
                <w:rFonts w:asciiTheme="minorEastAsia" w:eastAsiaTheme="minorEastAsia" w:hAnsiTheme="minorEastAsia" w:cs="Times New Roman"/>
                <w:color w:val="323232"/>
                <w:sz w:val="21"/>
                <w:szCs w:val="21"/>
              </w:rPr>
            </w:pPr>
            <w:r w:rsidRPr="005C11F2">
              <w:rPr>
                <w:rFonts w:asciiTheme="minorEastAsia" w:eastAsiaTheme="minorEastAsia" w:hAnsiTheme="minorEastAsia" w:hint="eastAsia"/>
                <w:sz w:val="21"/>
                <w:szCs w:val="21"/>
              </w:rPr>
              <w:t>民航局</w:t>
            </w:r>
            <w:r w:rsidRPr="005C11F2">
              <w:rPr>
                <w:rFonts w:asciiTheme="minorEastAsia" w:eastAsiaTheme="minorEastAsia" w:hAnsiTheme="minorEastAsia"/>
                <w:sz w:val="21"/>
                <w:szCs w:val="21"/>
              </w:rPr>
              <w:t xml:space="preserve"> </w:t>
            </w:r>
          </w:p>
        </w:tc>
      </w:tr>
      <w:tr w:rsidR="00E81887" w:rsidRPr="005C11F2" w:rsidTr="009516EE">
        <w:tc>
          <w:tcPr>
            <w:tcW w:w="4786" w:type="dxa"/>
            <w:vAlign w:val="center"/>
          </w:tcPr>
          <w:p w:rsidR="00E81887" w:rsidRPr="005C11F2" w:rsidRDefault="001E7D33">
            <w:pPr>
              <w:pStyle w:val="Default"/>
              <w:rPr>
                <w:rFonts w:asciiTheme="minorEastAsia" w:eastAsiaTheme="minorEastAsia" w:hAnsiTheme="minorEastAsia" w:cs="Times New Roman"/>
                <w:color w:val="323232"/>
                <w:sz w:val="21"/>
                <w:szCs w:val="21"/>
              </w:rPr>
            </w:pPr>
            <w:r w:rsidRPr="005C11F2">
              <w:rPr>
                <w:rFonts w:asciiTheme="minorEastAsia" w:eastAsiaTheme="minorEastAsia" w:hAnsiTheme="minorEastAsia" w:cs="Times New Roman"/>
                <w:sz w:val="21"/>
                <w:szCs w:val="21"/>
              </w:rPr>
              <w:t>18.</w:t>
            </w:r>
            <w:r w:rsidRPr="005C11F2">
              <w:rPr>
                <w:rFonts w:asciiTheme="minorEastAsia" w:eastAsiaTheme="minorEastAsia" w:hAnsiTheme="minorEastAsia" w:hint="eastAsia"/>
                <w:sz w:val="21"/>
                <w:szCs w:val="21"/>
              </w:rPr>
              <w:t xml:space="preserve"> 國際通信衛星組織</w:t>
            </w:r>
          </w:p>
        </w:tc>
        <w:tc>
          <w:tcPr>
            <w:tcW w:w="3736" w:type="dxa"/>
            <w:vAlign w:val="center"/>
          </w:tcPr>
          <w:p w:rsidR="00E81887" w:rsidRPr="005C11F2" w:rsidRDefault="001E7D33">
            <w:pPr>
              <w:pStyle w:val="Default"/>
              <w:rPr>
                <w:rFonts w:asciiTheme="minorEastAsia" w:eastAsiaTheme="minorEastAsia" w:hAnsiTheme="minorEastAsia" w:cs="Times New Roman"/>
                <w:color w:val="323232"/>
                <w:sz w:val="21"/>
                <w:szCs w:val="21"/>
              </w:rPr>
            </w:pPr>
            <w:r w:rsidRPr="005C11F2">
              <w:rPr>
                <w:rFonts w:asciiTheme="minorEastAsia" w:eastAsiaTheme="minorEastAsia" w:hAnsiTheme="minorEastAsia" w:hint="eastAsia"/>
                <w:sz w:val="21"/>
                <w:szCs w:val="21"/>
              </w:rPr>
              <w:t>郵電局</w:t>
            </w:r>
          </w:p>
        </w:tc>
      </w:tr>
    </w:tbl>
    <w:p w:rsidR="00E81887" w:rsidRPr="005C11F2" w:rsidRDefault="00E81887" w:rsidP="00BE6B9D">
      <w:pPr>
        <w:snapToGrid w:val="0"/>
        <w:spacing w:beforeLines="50" w:line="360" w:lineRule="auto"/>
        <w:rPr>
          <w:rFonts w:asciiTheme="minorEastAsia" w:hAnsiTheme="minorEastAsia" w:cs="Times New Roman"/>
          <w:color w:val="000000"/>
          <w:kern w:val="0"/>
          <w:szCs w:val="21"/>
          <w:lang w:eastAsia="zh-TW"/>
        </w:rPr>
      </w:pPr>
    </w:p>
    <w:p w:rsidR="00E81887" w:rsidRPr="005C11F2" w:rsidRDefault="001E7D33" w:rsidP="00BE6B9D">
      <w:pPr>
        <w:snapToGrid w:val="0"/>
        <w:spacing w:before="50" w:afterLines="50" w:line="240" w:lineRule="auto"/>
        <w:jc w:val="center"/>
        <w:rPr>
          <w:rFonts w:asciiTheme="minorEastAsia" w:hAnsiTheme="minorEastAsia" w:cs="Times New Roman"/>
          <w:b/>
          <w:color w:val="000000"/>
          <w:kern w:val="0"/>
          <w:szCs w:val="21"/>
          <w:lang w:eastAsia="zh-HK"/>
        </w:rPr>
      </w:pPr>
      <w:r w:rsidRPr="005C11F2">
        <w:rPr>
          <w:rFonts w:asciiTheme="minorEastAsia" w:hAnsiTheme="minorEastAsia" w:cs="Times New Roman" w:hint="eastAsia"/>
          <w:b/>
          <w:color w:val="000000"/>
          <w:kern w:val="0"/>
          <w:szCs w:val="21"/>
          <w:lang w:eastAsia="zh-HK"/>
        </w:rPr>
        <w:lastRenderedPageBreak/>
        <w:t>表3、澳門特區參加的不以國家為單位參加的政府間國際組織和機制</w:t>
      </w:r>
    </w:p>
    <w:tbl>
      <w:tblPr>
        <w:tblStyle w:val="TableGrid"/>
        <w:tblW w:w="9049" w:type="dxa"/>
        <w:tblLayout w:type="fixed"/>
        <w:tblLook w:val="04A0"/>
      </w:tblPr>
      <w:tblGrid>
        <w:gridCol w:w="5353"/>
        <w:gridCol w:w="3696"/>
      </w:tblGrid>
      <w:tr w:rsidR="00E81887" w:rsidRPr="005C11F2" w:rsidTr="009516EE">
        <w:tc>
          <w:tcPr>
            <w:tcW w:w="5353" w:type="dxa"/>
            <w:vAlign w:val="center"/>
          </w:tcPr>
          <w:p w:rsidR="00E81887" w:rsidRPr="005C11F2" w:rsidRDefault="001E7D33" w:rsidP="00BB5EAB">
            <w:pPr>
              <w:pStyle w:val="Default"/>
              <w:spacing w:line="276" w:lineRule="auto"/>
              <w:jc w:val="center"/>
              <w:rPr>
                <w:rFonts w:asciiTheme="minorEastAsia" w:eastAsiaTheme="minorEastAsia" w:hAnsiTheme="minorEastAsia" w:cs="Times New Roman"/>
                <w:b/>
                <w:color w:val="323232"/>
                <w:sz w:val="21"/>
                <w:szCs w:val="21"/>
              </w:rPr>
            </w:pPr>
            <w:r w:rsidRPr="005C11F2">
              <w:rPr>
                <w:rFonts w:asciiTheme="minorEastAsia" w:eastAsiaTheme="minorEastAsia" w:hAnsiTheme="minorEastAsia" w:hint="eastAsia"/>
                <w:b/>
                <w:color w:val="323232"/>
                <w:sz w:val="21"/>
                <w:szCs w:val="21"/>
              </w:rPr>
              <w:t>組織名稱</w:t>
            </w:r>
          </w:p>
        </w:tc>
        <w:tc>
          <w:tcPr>
            <w:tcW w:w="3696" w:type="dxa"/>
            <w:vAlign w:val="center"/>
          </w:tcPr>
          <w:p w:rsidR="00E81887" w:rsidRPr="005C11F2" w:rsidRDefault="001E7D33" w:rsidP="00BB5EAB">
            <w:pPr>
              <w:pStyle w:val="Default"/>
              <w:spacing w:line="276" w:lineRule="auto"/>
              <w:jc w:val="center"/>
              <w:rPr>
                <w:rFonts w:asciiTheme="minorEastAsia" w:eastAsiaTheme="minorEastAsia" w:hAnsiTheme="minorEastAsia" w:cs="Times New Roman"/>
                <w:b/>
                <w:color w:val="323232"/>
                <w:sz w:val="21"/>
                <w:szCs w:val="21"/>
              </w:rPr>
            </w:pPr>
            <w:r w:rsidRPr="005C11F2">
              <w:rPr>
                <w:rFonts w:asciiTheme="minorEastAsia" w:eastAsiaTheme="minorEastAsia" w:hAnsiTheme="minorEastAsia" w:hint="eastAsia"/>
                <w:b/>
                <w:color w:val="323232"/>
                <w:sz w:val="21"/>
                <w:szCs w:val="21"/>
              </w:rPr>
              <w:t>負責部門</w:t>
            </w:r>
          </w:p>
        </w:tc>
      </w:tr>
      <w:tr w:rsidR="00E81887" w:rsidRPr="005C11F2" w:rsidTr="009516EE">
        <w:tc>
          <w:tcPr>
            <w:tcW w:w="5353" w:type="dxa"/>
            <w:vAlign w:val="center"/>
          </w:tcPr>
          <w:p w:rsidR="00E81887" w:rsidRPr="005C11F2" w:rsidRDefault="001E7D33">
            <w:pPr>
              <w:pStyle w:val="Default"/>
              <w:rPr>
                <w:rFonts w:asciiTheme="minorEastAsia" w:eastAsiaTheme="minorEastAsia" w:hAnsiTheme="minorEastAsia" w:cs="Times New Roman"/>
                <w:color w:val="323232"/>
                <w:sz w:val="21"/>
                <w:szCs w:val="21"/>
              </w:rPr>
            </w:pPr>
            <w:r w:rsidRPr="005C11F2">
              <w:rPr>
                <w:rFonts w:asciiTheme="minorEastAsia" w:eastAsiaTheme="minorEastAsia" w:hAnsiTheme="minorEastAsia" w:cs="Times New Roman"/>
                <w:sz w:val="21"/>
                <w:szCs w:val="21"/>
              </w:rPr>
              <w:t>1.</w:t>
            </w:r>
            <w:r w:rsidRPr="005C11F2">
              <w:rPr>
                <w:rFonts w:asciiTheme="minorEastAsia" w:eastAsiaTheme="minorEastAsia" w:hAnsiTheme="minorEastAsia" w:hint="eastAsia"/>
                <w:sz w:val="21"/>
                <w:szCs w:val="21"/>
              </w:rPr>
              <w:t xml:space="preserve"> 國際民航組織公鑰簿</w:t>
            </w:r>
          </w:p>
        </w:tc>
        <w:tc>
          <w:tcPr>
            <w:tcW w:w="3696" w:type="dxa"/>
            <w:vAlign w:val="center"/>
          </w:tcPr>
          <w:p w:rsidR="00E81887" w:rsidRPr="005C11F2" w:rsidRDefault="001E7D33" w:rsidP="005C11F2">
            <w:pPr>
              <w:pStyle w:val="Default"/>
              <w:rPr>
                <w:rFonts w:asciiTheme="minorEastAsia" w:eastAsiaTheme="minorEastAsia" w:hAnsiTheme="minorEastAsia" w:cs="Times New Roman"/>
                <w:color w:val="323232"/>
                <w:sz w:val="21"/>
                <w:szCs w:val="21"/>
              </w:rPr>
            </w:pPr>
            <w:r w:rsidRPr="005C11F2">
              <w:rPr>
                <w:rFonts w:asciiTheme="minorEastAsia" w:eastAsiaTheme="minorEastAsia" w:hAnsiTheme="minorEastAsia" w:hint="eastAsia"/>
                <w:sz w:val="21"/>
                <w:szCs w:val="21"/>
              </w:rPr>
              <w:t>身份證明局</w:t>
            </w:r>
          </w:p>
        </w:tc>
      </w:tr>
      <w:tr w:rsidR="00E81887" w:rsidRPr="005C11F2" w:rsidTr="009516EE">
        <w:tc>
          <w:tcPr>
            <w:tcW w:w="5353" w:type="dxa"/>
            <w:vAlign w:val="center"/>
          </w:tcPr>
          <w:p w:rsidR="00E81887" w:rsidRPr="005C11F2" w:rsidRDefault="001E7D33">
            <w:pPr>
              <w:pStyle w:val="Default"/>
              <w:rPr>
                <w:rFonts w:asciiTheme="minorEastAsia" w:eastAsiaTheme="minorEastAsia" w:hAnsiTheme="minorEastAsia" w:cs="Times New Roman"/>
                <w:color w:val="323232"/>
                <w:sz w:val="21"/>
                <w:szCs w:val="21"/>
              </w:rPr>
            </w:pPr>
            <w:r w:rsidRPr="005C11F2">
              <w:rPr>
                <w:rFonts w:asciiTheme="minorEastAsia" w:eastAsiaTheme="minorEastAsia" w:hAnsiTheme="minorEastAsia" w:cs="Times New Roman"/>
                <w:color w:val="323232"/>
                <w:sz w:val="21"/>
                <w:szCs w:val="21"/>
              </w:rPr>
              <w:t>2.</w:t>
            </w:r>
            <w:r w:rsidRPr="005C11F2">
              <w:rPr>
                <w:rFonts w:asciiTheme="minorEastAsia" w:eastAsiaTheme="minorEastAsia" w:hAnsiTheme="minorEastAsia" w:hint="eastAsia"/>
                <w:sz w:val="21"/>
                <w:szCs w:val="21"/>
              </w:rPr>
              <w:t xml:space="preserve"> </w:t>
            </w:r>
            <w:r w:rsidRPr="005C11F2">
              <w:rPr>
                <w:rFonts w:asciiTheme="minorEastAsia" w:eastAsiaTheme="minorEastAsia" w:hAnsiTheme="minorEastAsia" w:hint="eastAsia"/>
                <w:color w:val="323232"/>
                <w:sz w:val="21"/>
                <w:szCs w:val="21"/>
              </w:rPr>
              <w:t>世界貿易組織</w:t>
            </w:r>
          </w:p>
        </w:tc>
        <w:tc>
          <w:tcPr>
            <w:tcW w:w="3696" w:type="dxa"/>
            <w:vAlign w:val="center"/>
          </w:tcPr>
          <w:p w:rsidR="00E81887" w:rsidRPr="005C11F2" w:rsidRDefault="001E7D33">
            <w:pPr>
              <w:spacing w:after="0" w:line="240" w:lineRule="auto"/>
              <w:rPr>
                <w:rFonts w:asciiTheme="minorEastAsia" w:hAnsiTheme="minorEastAsia"/>
                <w:szCs w:val="21"/>
              </w:rPr>
            </w:pPr>
            <w:r w:rsidRPr="005C11F2">
              <w:rPr>
                <w:rFonts w:asciiTheme="minorEastAsia" w:hAnsiTheme="minorEastAsia" w:hint="eastAsia"/>
                <w:szCs w:val="21"/>
              </w:rPr>
              <w:t>經濟局</w:t>
            </w:r>
          </w:p>
        </w:tc>
      </w:tr>
      <w:tr w:rsidR="00E81887" w:rsidRPr="005C11F2" w:rsidTr="009516EE">
        <w:tc>
          <w:tcPr>
            <w:tcW w:w="5353" w:type="dxa"/>
            <w:vAlign w:val="center"/>
          </w:tcPr>
          <w:p w:rsidR="00E81887" w:rsidRPr="005C11F2" w:rsidRDefault="001E7D33">
            <w:pPr>
              <w:pStyle w:val="Default"/>
              <w:ind w:left="210" w:hangingChars="100" w:hanging="210"/>
              <w:rPr>
                <w:rFonts w:asciiTheme="minorEastAsia" w:eastAsiaTheme="minorEastAsia" w:hAnsiTheme="minorEastAsia" w:cs="Times New Roman"/>
                <w:color w:val="323232"/>
                <w:sz w:val="21"/>
                <w:szCs w:val="21"/>
              </w:rPr>
            </w:pPr>
            <w:r w:rsidRPr="005C11F2">
              <w:rPr>
                <w:rFonts w:asciiTheme="minorEastAsia" w:eastAsiaTheme="minorEastAsia" w:hAnsiTheme="minorEastAsia" w:cs="Times New Roman"/>
                <w:sz w:val="21"/>
                <w:szCs w:val="21"/>
              </w:rPr>
              <w:t>3.</w:t>
            </w:r>
            <w:r w:rsidRPr="005C11F2">
              <w:rPr>
                <w:rFonts w:asciiTheme="minorEastAsia" w:eastAsiaTheme="minorEastAsia" w:hAnsiTheme="minorEastAsia" w:hint="eastAsia"/>
                <w:sz w:val="21"/>
                <w:szCs w:val="21"/>
              </w:rPr>
              <w:t xml:space="preserve"> 亞太經合組織科技與創新政策夥伴關系機制、中小企業工作組、旅</w:t>
            </w:r>
            <w:r w:rsidR="00A242C0">
              <w:rPr>
                <w:rFonts w:asciiTheme="minorEastAsia" w:eastAsiaTheme="minorEastAsia" w:hAnsiTheme="minorEastAsia" w:hint="eastAsia"/>
                <w:sz w:val="21"/>
                <w:szCs w:val="21"/>
              </w:rPr>
              <w:t>遊</w:t>
            </w:r>
            <w:r w:rsidRPr="005C11F2">
              <w:rPr>
                <w:rFonts w:asciiTheme="minorEastAsia" w:eastAsiaTheme="minorEastAsia" w:hAnsiTheme="minorEastAsia" w:hint="eastAsia"/>
                <w:sz w:val="21"/>
                <w:szCs w:val="21"/>
              </w:rPr>
              <w:t>工作組、運輸工作組 世界貿易組織</w:t>
            </w:r>
            <w:r w:rsidRPr="005C11F2">
              <w:rPr>
                <w:rFonts w:asciiTheme="minorEastAsia" w:eastAsiaTheme="minorEastAsia" w:hAnsiTheme="minorEastAsia" w:cs="Times New Roman"/>
                <w:color w:val="323232"/>
                <w:sz w:val="21"/>
                <w:szCs w:val="21"/>
              </w:rPr>
              <w:t xml:space="preserve"> </w:t>
            </w:r>
          </w:p>
        </w:tc>
        <w:tc>
          <w:tcPr>
            <w:tcW w:w="3696" w:type="dxa"/>
            <w:vAlign w:val="center"/>
          </w:tcPr>
          <w:p w:rsidR="00E81887" w:rsidRPr="005C11F2" w:rsidRDefault="001E7D33">
            <w:pPr>
              <w:spacing w:after="0" w:line="240" w:lineRule="auto"/>
              <w:rPr>
                <w:rFonts w:asciiTheme="minorEastAsia" w:hAnsiTheme="minorEastAsia"/>
                <w:szCs w:val="21"/>
              </w:rPr>
            </w:pPr>
            <w:r w:rsidRPr="005C11F2">
              <w:rPr>
                <w:rFonts w:asciiTheme="minorEastAsia" w:hAnsiTheme="minorEastAsia" w:hint="eastAsia"/>
                <w:szCs w:val="21"/>
              </w:rPr>
              <w:t>經濟局</w:t>
            </w:r>
          </w:p>
        </w:tc>
      </w:tr>
      <w:tr w:rsidR="00E81887" w:rsidRPr="005C11F2" w:rsidTr="009516EE">
        <w:tc>
          <w:tcPr>
            <w:tcW w:w="5353" w:type="dxa"/>
            <w:vAlign w:val="center"/>
          </w:tcPr>
          <w:p w:rsidR="00E81887" w:rsidRPr="005C11F2" w:rsidRDefault="001E7D33">
            <w:pPr>
              <w:pStyle w:val="Default"/>
              <w:ind w:left="210" w:hangingChars="100" w:hanging="210"/>
              <w:rPr>
                <w:rFonts w:asciiTheme="minorEastAsia" w:eastAsiaTheme="minorEastAsia" w:hAnsiTheme="minorEastAsia" w:cs="Times New Roman"/>
                <w:color w:val="323232"/>
                <w:sz w:val="21"/>
                <w:szCs w:val="21"/>
              </w:rPr>
            </w:pPr>
            <w:r w:rsidRPr="005C11F2">
              <w:rPr>
                <w:rFonts w:asciiTheme="minorEastAsia" w:eastAsiaTheme="minorEastAsia" w:hAnsiTheme="minorEastAsia" w:cs="Times New Roman"/>
                <w:sz w:val="21"/>
                <w:szCs w:val="21"/>
              </w:rPr>
              <w:t>4.</w:t>
            </w:r>
            <w:r w:rsidRPr="005C11F2">
              <w:rPr>
                <w:rFonts w:asciiTheme="minorEastAsia" w:eastAsiaTheme="minorEastAsia" w:hAnsiTheme="minorEastAsia" w:hint="eastAsia"/>
                <w:sz w:val="21"/>
                <w:szCs w:val="21"/>
              </w:rPr>
              <w:t xml:space="preserve"> 經濟合作與發展組織稅務透明與信息交換全球論壇</w:t>
            </w:r>
          </w:p>
        </w:tc>
        <w:tc>
          <w:tcPr>
            <w:tcW w:w="3696" w:type="dxa"/>
            <w:vAlign w:val="center"/>
          </w:tcPr>
          <w:p w:rsidR="00E81887" w:rsidRPr="005C11F2" w:rsidRDefault="001E7D33">
            <w:pPr>
              <w:spacing w:after="0" w:line="240" w:lineRule="auto"/>
              <w:rPr>
                <w:rFonts w:asciiTheme="minorEastAsia" w:hAnsiTheme="minorEastAsia"/>
                <w:szCs w:val="21"/>
              </w:rPr>
            </w:pPr>
            <w:r w:rsidRPr="005C11F2">
              <w:rPr>
                <w:rFonts w:asciiTheme="minorEastAsia" w:hAnsiTheme="minorEastAsia" w:hint="eastAsia"/>
                <w:szCs w:val="21"/>
              </w:rPr>
              <w:t>財政局</w:t>
            </w:r>
          </w:p>
        </w:tc>
      </w:tr>
      <w:tr w:rsidR="00E81887" w:rsidRPr="005C11F2" w:rsidTr="009516EE">
        <w:tc>
          <w:tcPr>
            <w:tcW w:w="5353" w:type="dxa"/>
            <w:vAlign w:val="center"/>
          </w:tcPr>
          <w:p w:rsidR="00E81887" w:rsidRPr="005C11F2" w:rsidRDefault="001E7D33">
            <w:pPr>
              <w:pStyle w:val="Default"/>
              <w:rPr>
                <w:rFonts w:asciiTheme="minorEastAsia" w:eastAsiaTheme="minorEastAsia" w:hAnsiTheme="minorEastAsia" w:cs="Times New Roman"/>
                <w:color w:val="323232"/>
                <w:sz w:val="21"/>
                <w:szCs w:val="21"/>
              </w:rPr>
            </w:pPr>
            <w:r w:rsidRPr="005C11F2">
              <w:rPr>
                <w:rFonts w:asciiTheme="minorEastAsia" w:eastAsiaTheme="minorEastAsia" w:hAnsiTheme="minorEastAsia" w:cs="Times New Roman"/>
                <w:sz w:val="21"/>
                <w:szCs w:val="21"/>
              </w:rPr>
              <w:t>5.</w:t>
            </w:r>
            <w:r w:rsidRPr="005C11F2">
              <w:rPr>
                <w:rFonts w:asciiTheme="minorEastAsia" w:eastAsiaTheme="minorEastAsia" w:hAnsiTheme="minorEastAsia" w:hint="eastAsia"/>
                <w:sz w:val="21"/>
                <w:szCs w:val="21"/>
              </w:rPr>
              <w:t xml:space="preserve"> 亞洲稅收管理研究組織</w:t>
            </w:r>
          </w:p>
        </w:tc>
        <w:tc>
          <w:tcPr>
            <w:tcW w:w="3696" w:type="dxa"/>
            <w:vAlign w:val="center"/>
          </w:tcPr>
          <w:p w:rsidR="00E81887" w:rsidRPr="005C11F2" w:rsidRDefault="001E7D33">
            <w:pPr>
              <w:spacing w:after="0" w:line="240" w:lineRule="auto"/>
              <w:rPr>
                <w:rFonts w:asciiTheme="minorEastAsia" w:hAnsiTheme="minorEastAsia"/>
                <w:szCs w:val="21"/>
              </w:rPr>
            </w:pPr>
            <w:r w:rsidRPr="005C11F2">
              <w:rPr>
                <w:rFonts w:asciiTheme="minorEastAsia" w:hAnsiTheme="minorEastAsia" w:hint="eastAsia"/>
                <w:szCs w:val="21"/>
              </w:rPr>
              <w:t>財政局</w:t>
            </w:r>
          </w:p>
        </w:tc>
      </w:tr>
      <w:tr w:rsidR="00E81887" w:rsidRPr="005C11F2" w:rsidTr="009516EE">
        <w:tc>
          <w:tcPr>
            <w:tcW w:w="5353" w:type="dxa"/>
            <w:vAlign w:val="center"/>
          </w:tcPr>
          <w:p w:rsidR="00E81887" w:rsidRPr="005C11F2" w:rsidRDefault="001E7D33">
            <w:pPr>
              <w:pStyle w:val="Default"/>
              <w:rPr>
                <w:rFonts w:asciiTheme="minorEastAsia" w:eastAsiaTheme="minorEastAsia" w:hAnsiTheme="minorEastAsia" w:cs="Times New Roman"/>
                <w:color w:val="323232"/>
                <w:sz w:val="21"/>
                <w:szCs w:val="21"/>
              </w:rPr>
            </w:pPr>
            <w:r w:rsidRPr="005C11F2">
              <w:rPr>
                <w:rFonts w:asciiTheme="minorEastAsia" w:eastAsiaTheme="minorEastAsia" w:hAnsiTheme="minorEastAsia" w:cs="Times New Roman"/>
                <w:sz w:val="21"/>
                <w:szCs w:val="21"/>
              </w:rPr>
              <w:t>6.</w:t>
            </w:r>
            <w:r w:rsidRPr="005C11F2">
              <w:rPr>
                <w:rFonts w:asciiTheme="minorEastAsia" w:eastAsiaTheme="minorEastAsia" w:hAnsiTheme="minorEastAsia" w:hint="eastAsia"/>
                <w:sz w:val="21"/>
                <w:szCs w:val="21"/>
              </w:rPr>
              <w:t xml:space="preserve"> 亞太區反清洗黑錢組織</w:t>
            </w:r>
            <w:r w:rsidRPr="005C11F2">
              <w:rPr>
                <w:rFonts w:asciiTheme="minorEastAsia" w:eastAsiaTheme="minorEastAsia" w:hAnsiTheme="minorEastAsia" w:cs="Times New Roman"/>
                <w:color w:val="323232"/>
                <w:sz w:val="21"/>
                <w:szCs w:val="21"/>
              </w:rPr>
              <w:t xml:space="preserve"> </w:t>
            </w:r>
          </w:p>
        </w:tc>
        <w:tc>
          <w:tcPr>
            <w:tcW w:w="3696" w:type="dxa"/>
            <w:vAlign w:val="center"/>
          </w:tcPr>
          <w:p w:rsidR="00E81887" w:rsidRPr="005C11F2" w:rsidRDefault="001E7D33">
            <w:pPr>
              <w:spacing w:after="0" w:line="240" w:lineRule="auto"/>
              <w:rPr>
                <w:rFonts w:asciiTheme="minorEastAsia" w:hAnsiTheme="minorEastAsia"/>
                <w:szCs w:val="21"/>
              </w:rPr>
            </w:pPr>
            <w:r w:rsidRPr="005C11F2">
              <w:rPr>
                <w:rFonts w:asciiTheme="minorEastAsia" w:hAnsiTheme="minorEastAsia" w:hint="eastAsia"/>
                <w:szCs w:val="21"/>
              </w:rPr>
              <w:t>金融情報辦公室</w:t>
            </w:r>
          </w:p>
        </w:tc>
      </w:tr>
      <w:tr w:rsidR="00E81887" w:rsidRPr="005C11F2" w:rsidTr="009516EE">
        <w:tc>
          <w:tcPr>
            <w:tcW w:w="5353" w:type="dxa"/>
            <w:vAlign w:val="center"/>
          </w:tcPr>
          <w:p w:rsidR="00E81887" w:rsidRPr="005C11F2" w:rsidRDefault="001E7D33">
            <w:pPr>
              <w:pStyle w:val="Default"/>
              <w:rPr>
                <w:rFonts w:asciiTheme="minorEastAsia" w:eastAsiaTheme="minorEastAsia" w:hAnsiTheme="minorEastAsia" w:cs="Times New Roman"/>
                <w:color w:val="323232"/>
                <w:sz w:val="21"/>
                <w:szCs w:val="21"/>
                <w:lang w:eastAsia="zh-CN"/>
              </w:rPr>
            </w:pPr>
            <w:r w:rsidRPr="005C11F2">
              <w:rPr>
                <w:rFonts w:asciiTheme="minorEastAsia" w:eastAsiaTheme="minorEastAsia" w:hAnsiTheme="minorEastAsia" w:cs="Times New Roman"/>
                <w:sz w:val="21"/>
                <w:szCs w:val="21"/>
                <w:lang w:eastAsia="zh-CN"/>
              </w:rPr>
              <w:t>7.</w:t>
            </w:r>
            <w:r w:rsidRPr="005C11F2">
              <w:rPr>
                <w:rFonts w:asciiTheme="minorEastAsia" w:eastAsiaTheme="minorEastAsia" w:hAnsiTheme="minorEastAsia" w:hint="eastAsia"/>
                <w:sz w:val="21"/>
                <w:szCs w:val="21"/>
                <w:lang w:eastAsia="zh-CN"/>
              </w:rPr>
              <w:t xml:space="preserve"> 国际金融中心监管机构组织</w:t>
            </w:r>
          </w:p>
        </w:tc>
        <w:tc>
          <w:tcPr>
            <w:tcW w:w="3696" w:type="dxa"/>
            <w:vAlign w:val="center"/>
          </w:tcPr>
          <w:p w:rsidR="00E81887" w:rsidRPr="005C11F2" w:rsidRDefault="001E7D33">
            <w:pPr>
              <w:spacing w:after="0" w:line="240" w:lineRule="auto"/>
              <w:rPr>
                <w:rFonts w:asciiTheme="minorEastAsia" w:hAnsiTheme="minorEastAsia"/>
                <w:szCs w:val="21"/>
              </w:rPr>
            </w:pPr>
            <w:r w:rsidRPr="005C11F2">
              <w:rPr>
                <w:rFonts w:asciiTheme="minorEastAsia" w:hAnsiTheme="minorEastAsia" w:hint="eastAsia"/>
                <w:szCs w:val="21"/>
              </w:rPr>
              <w:t>金融情報辦公室</w:t>
            </w:r>
          </w:p>
        </w:tc>
      </w:tr>
      <w:tr w:rsidR="00E81887" w:rsidRPr="005C11F2" w:rsidTr="009516EE">
        <w:tc>
          <w:tcPr>
            <w:tcW w:w="5353" w:type="dxa"/>
            <w:vAlign w:val="center"/>
          </w:tcPr>
          <w:p w:rsidR="00E81887" w:rsidRPr="005C11F2" w:rsidRDefault="001E7D33">
            <w:pPr>
              <w:pStyle w:val="Default"/>
              <w:rPr>
                <w:rFonts w:asciiTheme="minorEastAsia" w:eastAsiaTheme="minorEastAsia" w:hAnsiTheme="minorEastAsia" w:cs="Times New Roman"/>
                <w:color w:val="323232"/>
                <w:sz w:val="21"/>
                <w:szCs w:val="21"/>
              </w:rPr>
            </w:pPr>
            <w:r w:rsidRPr="005C11F2">
              <w:rPr>
                <w:rFonts w:asciiTheme="minorEastAsia" w:eastAsiaTheme="minorEastAsia" w:hAnsiTheme="minorEastAsia" w:cs="Times New Roman"/>
                <w:sz w:val="21"/>
                <w:szCs w:val="21"/>
              </w:rPr>
              <w:t>8.</w:t>
            </w:r>
            <w:r w:rsidRPr="005C11F2">
              <w:rPr>
                <w:rFonts w:asciiTheme="minorEastAsia" w:eastAsiaTheme="minorEastAsia" w:hAnsiTheme="minorEastAsia" w:hint="eastAsia"/>
                <w:sz w:val="21"/>
                <w:szCs w:val="21"/>
              </w:rPr>
              <w:t xml:space="preserve"> 東新澳央行組織</w:t>
            </w:r>
          </w:p>
        </w:tc>
        <w:tc>
          <w:tcPr>
            <w:tcW w:w="3696" w:type="dxa"/>
            <w:vAlign w:val="center"/>
          </w:tcPr>
          <w:p w:rsidR="00E81887" w:rsidRPr="005C11F2" w:rsidRDefault="001E7D33">
            <w:pPr>
              <w:spacing w:after="0" w:line="240" w:lineRule="auto"/>
              <w:rPr>
                <w:rFonts w:asciiTheme="minorEastAsia" w:hAnsiTheme="minorEastAsia"/>
                <w:szCs w:val="21"/>
              </w:rPr>
            </w:pPr>
            <w:r w:rsidRPr="005C11F2">
              <w:rPr>
                <w:rFonts w:asciiTheme="minorEastAsia" w:hAnsiTheme="minorEastAsia" w:hint="eastAsia"/>
                <w:szCs w:val="21"/>
              </w:rPr>
              <w:t>金融管理局</w:t>
            </w:r>
            <w:r w:rsidRPr="005C11F2">
              <w:rPr>
                <w:rFonts w:asciiTheme="minorEastAsia" w:hAnsiTheme="minorEastAsia"/>
                <w:szCs w:val="21"/>
              </w:rPr>
              <w:t xml:space="preserve"> </w:t>
            </w:r>
          </w:p>
        </w:tc>
      </w:tr>
      <w:tr w:rsidR="00E81887" w:rsidRPr="005C11F2" w:rsidTr="009516EE">
        <w:tc>
          <w:tcPr>
            <w:tcW w:w="5353" w:type="dxa"/>
            <w:vAlign w:val="center"/>
          </w:tcPr>
          <w:p w:rsidR="00E81887" w:rsidRPr="005C11F2" w:rsidRDefault="001E7D33">
            <w:pPr>
              <w:pStyle w:val="Default"/>
              <w:rPr>
                <w:rFonts w:asciiTheme="minorEastAsia" w:eastAsiaTheme="minorEastAsia" w:hAnsiTheme="minorEastAsia" w:cs="Times New Roman"/>
                <w:color w:val="323232"/>
                <w:sz w:val="21"/>
                <w:szCs w:val="21"/>
              </w:rPr>
            </w:pPr>
            <w:r w:rsidRPr="005C11F2">
              <w:rPr>
                <w:rFonts w:asciiTheme="minorEastAsia" w:eastAsiaTheme="minorEastAsia" w:hAnsiTheme="minorEastAsia" w:cs="Times New Roman"/>
                <w:sz w:val="21"/>
                <w:szCs w:val="21"/>
              </w:rPr>
              <w:t>9.</w:t>
            </w:r>
            <w:r w:rsidRPr="005C11F2">
              <w:rPr>
                <w:rFonts w:asciiTheme="minorEastAsia" w:eastAsiaTheme="minorEastAsia" w:hAnsiTheme="minorEastAsia" w:hint="eastAsia"/>
                <w:sz w:val="21"/>
                <w:szCs w:val="21"/>
              </w:rPr>
              <w:t xml:space="preserve"> 國際保險監督官協會</w:t>
            </w:r>
          </w:p>
        </w:tc>
        <w:tc>
          <w:tcPr>
            <w:tcW w:w="3696" w:type="dxa"/>
            <w:vAlign w:val="center"/>
          </w:tcPr>
          <w:p w:rsidR="00E81887" w:rsidRPr="005C11F2" w:rsidRDefault="001E7D33">
            <w:pPr>
              <w:spacing w:after="0" w:line="240" w:lineRule="auto"/>
              <w:rPr>
                <w:rFonts w:asciiTheme="minorEastAsia" w:hAnsiTheme="minorEastAsia"/>
                <w:szCs w:val="21"/>
              </w:rPr>
            </w:pPr>
            <w:r w:rsidRPr="005C11F2">
              <w:rPr>
                <w:rFonts w:asciiTheme="minorEastAsia" w:hAnsiTheme="minorEastAsia" w:hint="eastAsia"/>
                <w:szCs w:val="21"/>
              </w:rPr>
              <w:t>金融管理局</w:t>
            </w:r>
            <w:r w:rsidRPr="005C11F2">
              <w:rPr>
                <w:rFonts w:asciiTheme="minorEastAsia" w:hAnsiTheme="minorEastAsia"/>
                <w:szCs w:val="21"/>
              </w:rPr>
              <w:t xml:space="preserve"> </w:t>
            </w:r>
          </w:p>
        </w:tc>
      </w:tr>
      <w:tr w:rsidR="00E81887" w:rsidRPr="005C11F2" w:rsidTr="009516EE">
        <w:tc>
          <w:tcPr>
            <w:tcW w:w="5353" w:type="dxa"/>
            <w:vAlign w:val="center"/>
          </w:tcPr>
          <w:p w:rsidR="00E81887" w:rsidRPr="005C11F2" w:rsidRDefault="001E7D33">
            <w:pPr>
              <w:pStyle w:val="Default"/>
              <w:rPr>
                <w:rFonts w:asciiTheme="minorEastAsia" w:eastAsiaTheme="minorEastAsia" w:hAnsiTheme="minorEastAsia" w:cs="Times New Roman"/>
                <w:color w:val="323232"/>
                <w:sz w:val="21"/>
                <w:szCs w:val="21"/>
              </w:rPr>
            </w:pPr>
            <w:r w:rsidRPr="005C11F2">
              <w:rPr>
                <w:rFonts w:asciiTheme="minorEastAsia" w:eastAsiaTheme="minorEastAsia" w:hAnsiTheme="minorEastAsia" w:cs="Times New Roman"/>
                <w:color w:val="323232"/>
                <w:sz w:val="21"/>
                <w:szCs w:val="21"/>
              </w:rPr>
              <w:t>10.</w:t>
            </w:r>
            <w:r w:rsidRPr="005C11F2">
              <w:rPr>
                <w:rFonts w:asciiTheme="minorEastAsia" w:eastAsiaTheme="minorEastAsia" w:hAnsiTheme="minorEastAsia" w:hint="eastAsia"/>
                <w:sz w:val="21"/>
                <w:szCs w:val="21"/>
              </w:rPr>
              <w:t xml:space="preserve"> </w:t>
            </w:r>
            <w:r w:rsidRPr="005C11F2">
              <w:rPr>
                <w:rFonts w:asciiTheme="minorEastAsia" w:eastAsiaTheme="minorEastAsia" w:hAnsiTheme="minorEastAsia" w:hint="eastAsia"/>
                <w:color w:val="323232"/>
                <w:sz w:val="21"/>
                <w:szCs w:val="21"/>
              </w:rPr>
              <w:t>亞洲保險監督官論壇</w:t>
            </w:r>
          </w:p>
        </w:tc>
        <w:tc>
          <w:tcPr>
            <w:tcW w:w="3696" w:type="dxa"/>
            <w:vAlign w:val="center"/>
          </w:tcPr>
          <w:p w:rsidR="00E81887" w:rsidRPr="005C11F2" w:rsidRDefault="001E7D33">
            <w:pPr>
              <w:spacing w:after="0" w:line="240" w:lineRule="auto"/>
              <w:rPr>
                <w:rFonts w:asciiTheme="minorEastAsia" w:hAnsiTheme="minorEastAsia"/>
                <w:szCs w:val="21"/>
              </w:rPr>
            </w:pPr>
            <w:r w:rsidRPr="005C11F2">
              <w:rPr>
                <w:rFonts w:asciiTheme="minorEastAsia" w:hAnsiTheme="minorEastAsia" w:hint="eastAsia"/>
                <w:szCs w:val="21"/>
              </w:rPr>
              <w:t>金融管理局</w:t>
            </w:r>
            <w:r w:rsidRPr="005C11F2">
              <w:rPr>
                <w:rFonts w:asciiTheme="minorEastAsia" w:hAnsiTheme="minorEastAsia"/>
                <w:szCs w:val="21"/>
              </w:rPr>
              <w:t xml:space="preserve"> </w:t>
            </w:r>
          </w:p>
        </w:tc>
      </w:tr>
      <w:tr w:rsidR="00E81887" w:rsidRPr="005C11F2" w:rsidTr="009516EE">
        <w:tc>
          <w:tcPr>
            <w:tcW w:w="5353" w:type="dxa"/>
            <w:vAlign w:val="center"/>
          </w:tcPr>
          <w:p w:rsidR="00E81887" w:rsidRPr="005C11F2" w:rsidRDefault="001E7D33">
            <w:pPr>
              <w:pStyle w:val="Default"/>
              <w:rPr>
                <w:rFonts w:asciiTheme="minorEastAsia" w:eastAsiaTheme="minorEastAsia" w:hAnsiTheme="minorEastAsia" w:cs="Times New Roman"/>
                <w:color w:val="323232"/>
                <w:sz w:val="21"/>
                <w:szCs w:val="21"/>
              </w:rPr>
            </w:pPr>
            <w:r w:rsidRPr="005C11F2">
              <w:rPr>
                <w:rFonts w:asciiTheme="minorEastAsia" w:eastAsiaTheme="minorEastAsia" w:hAnsiTheme="minorEastAsia" w:cs="Times New Roman"/>
                <w:sz w:val="21"/>
                <w:szCs w:val="21"/>
              </w:rPr>
              <w:t>11.</w:t>
            </w:r>
            <w:r w:rsidRPr="005C11F2">
              <w:rPr>
                <w:rFonts w:asciiTheme="minorEastAsia" w:eastAsiaTheme="minorEastAsia" w:hAnsiTheme="minorEastAsia" w:hint="eastAsia"/>
                <w:sz w:val="21"/>
                <w:szCs w:val="21"/>
              </w:rPr>
              <w:t xml:space="preserve"> 世界海關組織</w:t>
            </w:r>
          </w:p>
        </w:tc>
        <w:tc>
          <w:tcPr>
            <w:tcW w:w="3696" w:type="dxa"/>
            <w:vAlign w:val="center"/>
          </w:tcPr>
          <w:p w:rsidR="00E81887" w:rsidRPr="005C11F2" w:rsidRDefault="001E7D33">
            <w:pPr>
              <w:pStyle w:val="Default"/>
              <w:rPr>
                <w:rFonts w:asciiTheme="minorEastAsia" w:eastAsiaTheme="minorEastAsia" w:hAnsiTheme="minorEastAsia" w:cs="Times New Roman"/>
                <w:color w:val="323232"/>
                <w:sz w:val="21"/>
                <w:szCs w:val="21"/>
              </w:rPr>
            </w:pPr>
            <w:r w:rsidRPr="005C11F2">
              <w:rPr>
                <w:rFonts w:asciiTheme="minorEastAsia" w:eastAsiaTheme="minorEastAsia" w:hAnsiTheme="minorEastAsia" w:hint="eastAsia"/>
                <w:sz w:val="21"/>
                <w:szCs w:val="21"/>
              </w:rPr>
              <w:t>澳門海關</w:t>
            </w:r>
            <w:r w:rsidRPr="005C11F2">
              <w:rPr>
                <w:rFonts w:asciiTheme="minorEastAsia" w:eastAsiaTheme="minorEastAsia" w:hAnsiTheme="minorEastAsia" w:cs="Times New Roman"/>
                <w:color w:val="323232"/>
                <w:sz w:val="21"/>
                <w:szCs w:val="21"/>
              </w:rPr>
              <w:t xml:space="preserve"> </w:t>
            </w:r>
          </w:p>
        </w:tc>
      </w:tr>
      <w:tr w:rsidR="00E81887" w:rsidRPr="005C11F2" w:rsidTr="009516EE">
        <w:tc>
          <w:tcPr>
            <w:tcW w:w="5353" w:type="dxa"/>
            <w:vAlign w:val="center"/>
          </w:tcPr>
          <w:p w:rsidR="00E81887" w:rsidRPr="005C11F2" w:rsidRDefault="001E7D33">
            <w:pPr>
              <w:pStyle w:val="Default"/>
              <w:rPr>
                <w:rFonts w:asciiTheme="minorEastAsia" w:eastAsiaTheme="minorEastAsia" w:hAnsiTheme="minorEastAsia" w:cs="Times New Roman"/>
                <w:sz w:val="21"/>
                <w:szCs w:val="21"/>
              </w:rPr>
            </w:pPr>
            <w:r w:rsidRPr="005C11F2">
              <w:rPr>
                <w:rFonts w:asciiTheme="minorEastAsia" w:eastAsiaTheme="minorEastAsia" w:hAnsiTheme="minorEastAsia" w:cs="Times New Roman" w:hint="eastAsia"/>
                <w:sz w:val="21"/>
                <w:szCs w:val="21"/>
              </w:rPr>
              <w:t xml:space="preserve">12. </w:t>
            </w:r>
            <w:r w:rsidRPr="005C11F2">
              <w:rPr>
                <w:rFonts w:asciiTheme="minorEastAsia" w:eastAsiaTheme="minorEastAsia" w:hAnsiTheme="minorEastAsia" w:hint="eastAsia"/>
                <w:color w:val="323232"/>
                <w:sz w:val="21"/>
                <w:szCs w:val="21"/>
              </w:rPr>
              <w:t>國際緝毒執法大會</w:t>
            </w:r>
          </w:p>
        </w:tc>
        <w:tc>
          <w:tcPr>
            <w:tcW w:w="3696" w:type="dxa"/>
            <w:vAlign w:val="center"/>
          </w:tcPr>
          <w:p w:rsidR="00E81887" w:rsidRPr="005C11F2" w:rsidRDefault="001E7D33">
            <w:pPr>
              <w:pStyle w:val="Default"/>
              <w:rPr>
                <w:rFonts w:asciiTheme="minorEastAsia" w:eastAsiaTheme="minorEastAsia" w:hAnsiTheme="minorEastAsia"/>
                <w:sz w:val="21"/>
                <w:szCs w:val="21"/>
              </w:rPr>
            </w:pPr>
            <w:r w:rsidRPr="005C11F2">
              <w:rPr>
                <w:rFonts w:asciiTheme="minorEastAsia" w:eastAsiaTheme="minorEastAsia" w:hAnsiTheme="minorEastAsia" w:hint="eastAsia"/>
                <w:sz w:val="21"/>
                <w:szCs w:val="21"/>
              </w:rPr>
              <w:t>司法警察局</w:t>
            </w:r>
          </w:p>
        </w:tc>
      </w:tr>
      <w:tr w:rsidR="00E81887" w:rsidRPr="005C11F2" w:rsidTr="009516EE">
        <w:tc>
          <w:tcPr>
            <w:tcW w:w="5353" w:type="dxa"/>
            <w:vAlign w:val="center"/>
          </w:tcPr>
          <w:p w:rsidR="00E81887" w:rsidRPr="005C11F2" w:rsidRDefault="001E7D33">
            <w:pPr>
              <w:pStyle w:val="Default"/>
              <w:rPr>
                <w:rFonts w:asciiTheme="minorEastAsia" w:eastAsiaTheme="minorEastAsia" w:hAnsiTheme="minorEastAsia"/>
                <w:color w:val="323232"/>
                <w:sz w:val="21"/>
                <w:szCs w:val="21"/>
              </w:rPr>
            </w:pPr>
            <w:r w:rsidRPr="005C11F2">
              <w:rPr>
                <w:rFonts w:asciiTheme="minorEastAsia" w:eastAsiaTheme="minorEastAsia" w:hAnsiTheme="minorEastAsia" w:cs="Times New Roman"/>
                <w:sz w:val="21"/>
                <w:szCs w:val="21"/>
              </w:rPr>
              <w:t>13.</w:t>
            </w:r>
            <w:r w:rsidRPr="005C11F2">
              <w:rPr>
                <w:rFonts w:asciiTheme="minorEastAsia" w:eastAsiaTheme="minorEastAsia" w:hAnsiTheme="minorEastAsia" w:hint="eastAsia"/>
                <w:sz w:val="21"/>
                <w:szCs w:val="21"/>
              </w:rPr>
              <w:t xml:space="preserve"> 國際緝毒聯絡官會議</w:t>
            </w:r>
          </w:p>
        </w:tc>
        <w:tc>
          <w:tcPr>
            <w:tcW w:w="3696" w:type="dxa"/>
            <w:vAlign w:val="center"/>
          </w:tcPr>
          <w:p w:rsidR="00E81887" w:rsidRPr="005C11F2" w:rsidRDefault="001E7D33">
            <w:pPr>
              <w:pStyle w:val="Default"/>
              <w:rPr>
                <w:rFonts w:asciiTheme="minorEastAsia" w:eastAsiaTheme="minorEastAsia" w:hAnsiTheme="minorEastAsia" w:cs="Times New Roman"/>
                <w:color w:val="323232"/>
                <w:sz w:val="21"/>
                <w:szCs w:val="21"/>
              </w:rPr>
            </w:pPr>
            <w:r w:rsidRPr="005C11F2">
              <w:rPr>
                <w:rFonts w:asciiTheme="minorEastAsia" w:eastAsiaTheme="minorEastAsia" w:hAnsiTheme="minorEastAsia" w:hint="eastAsia"/>
                <w:sz w:val="21"/>
                <w:szCs w:val="21"/>
              </w:rPr>
              <w:t>司法警察局</w:t>
            </w:r>
            <w:r w:rsidRPr="005C11F2">
              <w:rPr>
                <w:rFonts w:asciiTheme="minorEastAsia" w:eastAsiaTheme="minorEastAsia" w:hAnsiTheme="minorEastAsia"/>
                <w:sz w:val="21"/>
                <w:szCs w:val="21"/>
              </w:rPr>
              <w:t xml:space="preserve"> </w:t>
            </w:r>
          </w:p>
        </w:tc>
      </w:tr>
      <w:tr w:rsidR="00E81887" w:rsidRPr="005C11F2" w:rsidTr="009516EE">
        <w:tc>
          <w:tcPr>
            <w:tcW w:w="5353" w:type="dxa"/>
            <w:vAlign w:val="center"/>
          </w:tcPr>
          <w:p w:rsidR="00E81887" w:rsidRPr="005C11F2" w:rsidRDefault="001E7D33">
            <w:pPr>
              <w:pStyle w:val="Default"/>
              <w:rPr>
                <w:rFonts w:asciiTheme="minorEastAsia" w:eastAsiaTheme="minorEastAsia" w:hAnsiTheme="minorEastAsia" w:cs="Times New Roman"/>
                <w:color w:val="323232"/>
                <w:sz w:val="21"/>
                <w:szCs w:val="21"/>
              </w:rPr>
            </w:pPr>
            <w:r w:rsidRPr="005C11F2">
              <w:rPr>
                <w:rFonts w:asciiTheme="minorEastAsia" w:eastAsiaTheme="minorEastAsia" w:hAnsiTheme="minorEastAsia" w:cs="Times New Roman"/>
                <w:sz w:val="21"/>
                <w:szCs w:val="21"/>
              </w:rPr>
              <w:t>14.</w:t>
            </w:r>
            <w:r w:rsidRPr="005C11F2">
              <w:rPr>
                <w:rFonts w:asciiTheme="minorEastAsia" w:eastAsiaTheme="minorEastAsia" w:hAnsiTheme="minorEastAsia" w:hint="eastAsia"/>
                <w:sz w:val="21"/>
                <w:szCs w:val="21"/>
              </w:rPr>
              <w:t xml:space="preserve"> 亞洲及太平洋懲教首長會議</w:t>
            </w:r>
          </w:p>
        </w:tc>
        <w:tc>
          <w:tcPr>
            <w:tcW w:w="3696" w:type="dxa"/>
            <w:vAlign w:val="center"/>
          </w:tcPr>
          <w:p w:rsidR="00E81887" w:rsidRPr="005C11F2" w:rsidRDefault="001E7D33">
            <w:pPr>
              <w:pStyle w:val="Default"/>
              <w:rPr>
                <w:rFonts w:asciiTheme="minorEastAsia" w:eastAsiaTheme="minorEastAsia" w:hAnsiTheme="minorEastAsia" w:cs="Times New Roman"/>
                <w:color w:val="323232"/>
                <w:sz w:val="21"/>
                <w:szCs w:val="21"/>
              </w:rPr>
            </w:pPr>
            <w:r w:rsidRPr="005C11F2">
              <w:rPr>
                <w:rFonts w:asciiTheme="minorEastAsia" w:eastAsiaTheme="minorEastAsia" w:hAnsiTheme="minorEastAsia" w:hint="eastAsia"/>
                <w:sz w:val="21"/>
                <w:szCs w:val="21"/>
              </w:rPr>
              <w:t>懲教管理局</w:t>
            </w:r>
            <w:r w:rsidRPr="005C11F2">
              <w:rPr>
                <w:rFonts w:asciiTheme="minorEastAsia" w:eastAsiaTheme="minorEastAsia" w:hAnsiTheme="minorEastAsia" w:cs="Times New Roman"/>
                <w:color w:val="323232"/>
                <w:sz w:val="21"/>
                <w:szCs w:val="21"/>
              </w:rPr>
              <w:t xml:space="preserve"> </w:t>
            </w:r>
          </w:p>
        </w:tc>
      </w:tr>
      <w:tr w:rsidR="00E81887" w:rsidRPr="009516EE" w:rsidTr="009516EE">
        <w:tc>
          <w:tcPr>
            <w:tcW w:w="5353" w:type="dxa"/>
            <w:vAlign w:val="center"/>
          </w:tcPr>
          <w:p w:rsidR="00E81887" w:rsidRPr="009516EE" w:rsidRDefault="001E7D33">
            <w:pPr>
              <w:pStyle w:val="Default"/>
              <w:rPr>
                <w:rFonts w:asciiTheme="minorEastAsia" w:eastAsiaTheme="minorEastAsia" w:hAnsiTheme="minorEastAsia" w:cs="Times New Roman"/>
                <w:sz w:val="21"/>
                <w:szCs w:val="21"/>
              </w:rPr>
            </w:pPr>
            <w:r w:rsidRPr="005C11F2">
              <w:rPr>
                <w:rFonts w:asciiTheme="minorEastAsia" w:eastAsiaTheme="minorEastAsia" w:hAnsiTheme="minorEastAsia" w:cs="Times New Roman"/>
                <w:sz w:val="21"/>
                <w:szCs w:val="21"/>
              </w:rPr>
              <w:t>15.</w:t>
            </w:r>
            <w:r w:rsidRPr="009516EE">
              <w:rPr>
                <w:rFonts w:asciiTheme="minorEastAsia" w:eastAsiaTheme="minorEastAsia" w:hAnsiTheme="minorEastAsia" w:cs="Times New Roman" w:hint="eastAsia"/>
                <w:sz w:val="21"/>
                <w:szCs w:val="21"/>
              </w:rPr>
              <w:t xml:space="preserve"> 聯合國世界旅</w:t>
            </w:r>
            <w:r w:rsidR="00A242C0">
              <w:rPr>
                <w:rFonts w:asciiTheme="minorEastAsia" w:eastAsiaTheme="minorEastAsia" w:hAnsiTheme="minorEastAsia" w:cs="Times New Roman" w:hint="eastAsia"/>
                <w:sz w:val="21"/>
                <w:szCs w:val="21"/>
              </w:rPr>
              <w:t>遊</w:t>
            </w:r>
            <w:r w:rsidRPr="009516EE">
              <w:rPr>
                <w:rFonts w:asciiTheme="minorEastAsia" w:eastAsiaTheme="minorEastAsia" w:hAnsiTheme="minorEastAsia" w:cs="Times New Roman" w:hint="eastAsia"/>
                <w:sz w:val="21"/>
                <w:szCs w:val="21"/>
              </w:rPr>
              <w:t>組織</w:t>
            </w:r>
          </w:p>
        </w:tc>
        <w:tc>
          <w:tcPr>
            <w:tcW w:w="3696" w:type="dxa"/>
            <w:vAlign w:val="center"/>
          </w:tcPr>
          <w:p w:rsidR="00E81887" w:rsidRPr="005C11F2" w:rsidRDefault="001E7D33" w:rsidP="009516EE">
            <w:pPr>
              <w:pStyle w:val="Default"/>
              <w:rPr>
                <w:rFonts w:asciiTheme="minorEastAsia" w:eastAsiaTheme="minorEastAsia" w:hAnsiTheme="minorEastAsia" w:cs="Times New Roman"/>
                <w:sz w:val="21"/>
                <w:szCs w:val="21"/>
              </w:rPr>
            </w:pPr>
            <w:r w:rsidRPr="009516EE">
              <w:rPr>
                <w:rFonts w:asciiTheme="minorEastAsia" w:eastAsiaTheme="minorEastAsia" w:hAnsiTheme="minorEastAsia" w:cs="Times New Roman" w:hint="eastAsia"/>
                <w:sz w:val="21"/>
                <w:szCs w:val="21"/>
              </w:rPr>
              <w:t>旅遊局、旅遊學院、澳門理工學院</w:t>
            </w:r>
          </w:p>
        </w:tc>
      </w:tr>
      <w:tr w:rsidR="00E81887" w:rsidRPr="005C11F2" w:rsidTr="009516EE">
        <w:tc>
          <w:tcPr>
            <w:tcW w:w="5353" w:type="dxa"/>
            <w:vAlign w:val="center"/>
          </w:tcPr>
          <w:p w:rsidR="00E81887" w:rsidRPr="005C11F2" w:rsidRDefault="001E7D33">
            <w:pPr>
              <w:pStyle w:val="Default"/>
              <w:rPr>
                <w:rFonts w:asciiTheme="minorEastAsia" w:eastAsiaTheme="minorEastAsia" w:hAnsiTheme="minorEastAsia" w:cs="Times New Roman"/>
                <w:color w:val="323232"/>
                <w:sz w:val="21"/>
                <w:szCs w:val="21"/>
              </w:rPr>
            </w:pPr>
            <w:r w:rsidRPr="005C11F2">
              <w:rPr>
                <w:rFonts w:asciiTheme="minorEastAsia" w:eastAsiaTheme="minorEastAsia" w:hAnsiTheme="minorEastAsia" w:cs="Times New Roman"/>
                <w:sz w:val="21"/>
                <w:szCs w:val="21"/>
              </w:rPr>
              <w:t>16.</w:t>
            </w:r>
            <w:r w:rsidRPr="005C11F2">
              <w:rPr>
                <w:rFonts w:asciiTheme="minorEastAsia" w:eastAsiaTheme="minorEastAsia" w:hAnsiTheme="minorEastAsia" w:hint="eastAsia"/>
                <w:sz w:val="21"/>
                <w:szCs w:val="21"/>
              </w:rPr>
              <w:t xml:space="preserve"> 聯合國全球地理信息管理亞太區域委員會</w:t>
            </w:r>
          </w:p>
        </w:tc>
        <w:tc>
          <w:tcPr>
            <w:tcW w:w="3696" w:type="dxa"/>
            <w:vAlign w:val="center"/>
          </w:tcPr>
          <w:p w:rsidR="00E81887" w:rsidRPr="005C11F2" w:rsidRDefault="001E7D33">
            <w:pPr>
              <w:pStyle w:val="Default"/>
              <w:rPr>
                <w:rFonts w:asciiTheme="minorEastAsia" w:eastAsiaTheme="minorEastAsia" w:hAnsiTheme="minorEastAsia" w:cs="Times New Roman"/>
                <w:color w:val="323232"/>
                <w:sz w:val="21"/>
                <w:szCs w:val="21"/>
              </w:rPr>
            </w:pPr>
            <w:r w:rsidRPr="005C11F2">
              <w:rPr>
                <w:rFonts w:asciiTheme="minorEastAsia" w:eastAsiaTheme="minorEastAsia" w:hAnsiTheme="minorEastAsia" w:hint="eastAsia"/>
                <w:sz w:val="21"/>
                <w:szCs w:val="21"/>
              </w:rPr>
              <w:t>地圖繪制暨地籍局</w:t>
            </w:r>
          </w:p>
        </w:tc>
      </w:tr>
      <w:tr w:rsidR="00E81887" w:rsidRPr="005C11F2" w:rsidTr="009516EE">
        <w:tc>
          <w:tcPr>
            <w:tcW w:w="5353" w:type="dxa"/>
            <w:vAlign w:val="center"/>
          </w:tcPr>
          <w:p w:rsidR="00E81887" w:rsidRPr="005C11F2" w:rsidRDefault="001E7D33">
            <w:pPr>
              <w:pStyle w:val="Default"/>
              <w:rPr>
                <w:rFonts w:asciiTheme="minorEastAsia" w:eastAsiaTheme="minorEastAsia" w:hAnsiTheme="minorEastAsia" w:cs="Times New Roman"/>
                <w:color w:val="323232"/>
                <w:sz w:val="21"/>
                <w:szCs w:val="21"/>
              </w:rPr>
            </w:pPr>
            <w:r w:rsidRPr="005C11F2">
              <w:rPr>
                <w:rFonts w:asciiTheme="minorEastAsia" w:eastAsiaTheme="minorEastAsia" w:hAnsiTheme="minorEastAsia" w:cs="Times New Roman"/>
                <w:sz w:val="21"/>
                <w:szCs w:val="21"/>
              </w:rPr>
              <w:t>17.</w:t>
            </w:r>
            <w:r w:rsidRPr="005C11F2">
              <w:rPr>
                <w:rFonts w:asciiTheme="minorEastAsia" w:eastAsiaTheme="minorEastAsia" w:hAnsiTheme="minorEastAsia" w:hint="eastAsia"/>
                <w:sz w:val="21"/>
                <w:szCs w:val="21"/>
              </w:rPr>
              <w:t xml:space="preserve"> 國際海事組織</w:t>
            </w:r>
          </w:p>
        </w:tc>
        <w:tc>
          <w:tcPr>
            <w:tcW w:w="3696" w:type="dxa"/>
            <w:vAlign w:val="center"/>
          </w:tcPr>
          <w:p w:rsidR="00E81887" w:rsidRPr="005C11F2" w:rsidRDefault="001E7D33">
            <w:pPr>
              <w:spacing w:after="0" w:line="240" w:lineRule="auto"/>
              <w:rPr>
                <w:rFonts w:asciiTheme="minorEastAsia" w:hAnsiTheme="minorEastAsia"/>
                <w:szCs w:val="21"/>
              </w:rPr>
            </w:pPr>
            <w:r w:rsidRPr="005C11F2">
              <w:rPr>
                <w:rFonts w:asciiTheme="minorEastAsia" w:hAnsiTheme="minorEastAsia" w:hint="eastAsia"/>
                <w:szCs w:val="21"/>
              </w:rPr>
              <w:t>海事及水務局</w:t>
            </w:r>
          </w:p>
        </w:tc>
      </w:tr>
      <w:tr w:rsidR="00E81887" w:rsidRPr="009516EE" w:rsidTr="009516EE">
        <w:tc>
          <w:tcPr>
            <w:tcW w:w="5353" w:type="dxa"/>
            <w:vAlign w:val="center"/>
          </w:tcPr>
          <w:p w:rsidR="00E81887" w:rsidRPr="009516EE" w:rsidRDefault="001E7D33" w:rsidP="009516EE">
            <w:pPr>
              <w:pStyle w:val="Default"/>
              <w:rPr>
                <w:rFonts w:asciiTheme="minorEastAsia" w:eastAsiaTheme="minorEastAsia" w:hAnsiTheme="minorEastAsia" w:cs="Times New Roman"/>
                <w:sz w:val="21"/>
                <w:szCs w:val="21"/>
              </w:rPr>
            </w:pPr>
            <w:r w:rsidRPr="005C11F2">
              <w:rPr>
                <w:rFonts w:asciiTheme="minorEastAsia" w:eastAsiaTheme="minorEastAsia" w:hAnsiTheme="minorEastAsia" w:cs="Times New Roman"/>
                <w:sz w:val="21"/>
                <w:szCs w:val="21"/>
              </w:rPr>
              <w:t>18.</w:t>
            </w:r>
            <w:r w:rsidRPr="009516EE">
              <w:rPr>
                <w:rFonts w:asciiTheme="minorEastAsia" w:eastAsiaTheme="minorEastAsia" w:hAnsiTheme="minorEastAsia" w:cs="Times New Roman" w:hint="eastAsia"/>
                <w:sz w:val="21"/>
                <w:szCs w:val="21"/>
              </w:rPr>
              <w:t xml:space="preserve"> 亞太地區港口國監督諒解備忘錄組織(東京備忘錄)</w:t>
            </w:r>
          </w:p>
        </w:tc>
        <w:tc>
          <w:tcPr>
            <w:tcW w:w="3696" w:type="dxa"/>
            <w:vAlign w:val="center"/>
          </w:tcPr>
          <w:p w:rsidR="00E81887" w:rsidRPr="009516EE" w:rsidRDefault="001E7D33" w:rsidP="009516EE">
            <w:pPr>
              <w:pStyle w:val="Default"/>
              <w:rPr>
                <w:rFonts w:asciiTheme="minorEastAsia" w:eastAsiaTheme="minorEastAsia" w:hAnsiTheme="minorEastAsia" w:cs="Times New Roman"/>
                <w:sz w:val="21"/>
                <w:szCs w:val="21"/>
              </w:rPr>
            </w:pPr>
            <w:r w:rsidRPr="009516EE">
              <w:rPr>
                <w:rFonts w:asciiTheme="minorEastAsia" w:eastAsiaTheme="minorEastAsia" w:hAnsiTheme="minorEastAsia" w:cs="Times New Roman" w:hint="eastAsia"/>
                <w:sz w:val="21"/>
                <w:szCs w:val="21"/>
              </w:rPr>
              <w:t>海事及水務局</w:t>
            </w:r>
          </w:p>
        </w:tc>
      </w:tr>
      <w:tr w:rsidR="00E81887" w:rsidRPr="005C11F2" w:rsidTr="009516EE">
        <w:tc>
          <w:tcPr>
            <w:tcW w:w="5353" w:type="dxa"/>
            <w:vAlign w:val="center"/>
          </w:tcPr>
          <w:p w:rsidR="00E81887" w:rsidRPr="005C11F2" w:rsidRDefault="001E7D33">
            <w:pPr>
              <w:pStyle w:val="Default"/>
              <w:rPr>
                <w:rFonts w:asciiTheme="minorEastAsia" w:eastAsiaTheme="minorEastAsia" w:hAnsiTheme="minorEastAsia" w:cs="Times New Roman"/>
                <w:sz w:val="21"/>
                <w:szCs w:val="21"/>
              </w:rPr>
            </w:pPr>
            <w:r w:rsidRPr="005C11F2">
              <w:rPr>
                <w:rFonts w:asciiTheme="minorEastAsia" w:eastAsiaTheme="minorEastAsia" w:hAnsiTheme="minorEastAsia" w:cs="Times New Roman"/>
                <w:sz w:val="21"/>
                <w:szCs w:val="21"/>
              </w:rPr>
              <w:t>19.</w:t>
            </w:r>
            <w:r w:rsidRPr="005C11F2">
              <w:rPr>
                <w:rFonts w:asciiTheme="minorEastAsia" w:eastAsiaTheme="minorEastAsia" w:hAnsiTheme="minorEastAsia" w:hint="eastAsia"/>
                <w:sz w:val="21"/>
                <w:szCs w:val="21"/>
              </w:rPr>
              <w:t xml:space="preserve"> 世界氣象組織</w:t>
            </w:r>
          </w:p>
        </w:tc>
        <w:tc>
          <w:tcPr>
            <w:tcW w:w="3696" w:type="dxa"/>
            <w:vAlign w:val="center"/>
          </w:tcPr>
          <w:p w:rsidR="00E81887" w:rsidRPr="005C11F2" w:rsidRDefault="001E7D33">
            <w:pPr>
              <w:pStyle w:val="Default"/>
              <w:rPr>
                <w:rFonts w:asciiTheme="minorEastAsia" w:eastAsiaTheme="minorEastAsia" w:hAnsiTheme="minorEastAsia" w:cs="Times New Roman"/>
                <w:color w:val="323232"/>
                <w:sz w:val="21"/>
                <w:szCs w:val="21"/>
              </w:rPr>
            </w:pPr>
            <w:r w:rsidRPr="005C11F2">
              <w:rPr>
                <w:rFonts w:asciiTheme="minorEastAsia" w:eastAsiaTheme="minorEastAsia" w:hAnsiTheme="minorEastAsia" w:hint="eastAsia"/>
                <w:sz w:val="21"/>
                <w:szCs w:val="21"/>
              </w:rPr>
              <w:t>地球物理暨氣象局</w:t>
            </w:r>
          </w:p>
        </w:tc>
      </w:tr>
      <w:tr w:rsidR="00E81887" w:rsidRPr="005C11F2" w:rsidTr="009516EE">
        <w:tc>
          <w:tcPr>
            <w:tcW w:w="5353" w:type="dxa"/>
            <w:vAlign w:val="center"/>
          </w:tcPr>
          <w:p w:rsidR="00E81887" w:rsidRPr="005C11F2" w:rsidRDefault="001E7D33">
            <w:pPr>
              <w:pStyle w:val="Default"/>
              <w:rPr>
                <w:rFonts w:asciiTheme="minorEastAsia" w:eastAsiaTheme="minorEastAsia" w:hAnsiTheme="minorEastAsia" w:cs="Times New Roman"/>
                <w:sz w:val="21"/>
                <w:szCs w:val="21"/>
              </w:rPr>
            </w:pPr>
            <w:r w:rsidRPr="005C11F2">
              <w:rPr>
                <w:rFonts w:asciiTheme="minorEastAsia" w:eastAsiaTheme="minorEastAsia" w:hAnsiTheme="minorEastAsia" w:cs="Times New Roman"/>
                <w:sz w:val="21"/>
                <w:szCs w:val="21"/>
              </w:rPr>
              <w:t>20.</w:t>
            </w:r>
            <w:r w:rsidRPr="005C11F2">
              <w:rPr>
                <w:rFonts w:asciiTheme="minorEastAsia" w:eastAsiaTheme="minorEastAsia" w:hAnsiTheme="minorEastAsia" w:hint="eastAsia"/>
                <w:sz w:val="21"/>
                <w:szCs w:val="21"/>
              </w:rPr>
              <w:t xml:space="preserve"> 台風委員會</w:t>
            </w:r>
            <w:r w:rsidRPr="005C11F2">
              <w:rPr>
                <w:rFonts w:asciiTheme="minorEastAsia" w:eastAsiaTheme="minorEastAsia" w:hAnsiTheme="minorEastAsia" w:cs="Times New Roman"/>
                <w:sz w:val="21"/>
                <w:szCs w:val="21"/>
              </w:rPr>
              <w:t xml:space="preserve"> </w:t>
            </w:r>
          </w:p>
        </w:tc>
        <w:tc>
          <w:tcPr>
            <w:tcW w:w="3696" w:type="dxa"/>
            <w:vAlign w:val="center"/>
          </w:tcPr>
          <w:p w:rsidR="00E81887" w:rsidRPr="005C11F2" w:rsidRDefault="001E7D33">
            <w:pPr>
              <w:pStyle w:val="Default"/>
              <w:rPr>
                <w:rFonts w:asciiTheme="minorEastAsia" w:eastAsiaTheme="minorEastAsia" w:hAnsiTheme="minorEastAsia" w:cs="Times New Roman"/>
                <w:color w:val="323232"/>
                <w:sz w:val="21"/>
                <w:szCs w:val="21"/>
              </w:rPr>
            </w:pPr>
            <w:r w:rsidRPr="005C11F2">
              <w:rPr>
                <w:rFonts w:asciiTheme="minorEastAsia" w:eastAsiaTheme="minorEastAsia" w:hAnsiTheme="minorEastAsia" w:hint="eastAsia"/>
                <w:sz w:val="21"/>
                <w:szCs w:val="21"/>
              </w:rPr>
              <w:t>地球物理暨氣象局</w:t>
            </w:r>
          </w:p>
        </w:tc>
      </w:tr>
      <w:tr w:rsidR="00E81887" w:rsidRPr="005C11F2" w:rsidTr="009516EE">
        <w:tc>
          <w:tcPr>
            <w:tcW w:w="5353" w:type="dxa"/>
            <w:vAlign w:val="center"/>
          </w:tcPr>
          <w:p w:rsidR="00E81887" w:rsidRPr="005C11F2" w:rsidRDefault="001E7D33">
            <w:pPr>
              <w:pStyle w:val="Default"/>
              <w:rPr>
                <w:rFonts w:asciiTheme="minorEastAsia" w:eastAsiaTheme="minorEastAsia" w:hAnsiTheme="minorEastAsia" w:cs="Times New Roman"/>
                <w:sz w:val="21"/>
                <w:szCs w:val="21"/>
              </w:rPr>
            </w:pPr>
            <w:r w:rsidRPr="005C11F2">
              <w:rPr>
                <w:rFonts w:asciiTheme="minorEastAsia" w:eastAsiaTheme="minorEastAsia" w:hAnsiTheme="minorEastAsia" w:cs="Times New Roman"/>
                <w:sz w:val="21"/>
                <w:szCs w:val="21"/>
              </w:rPr>
              <w:t>21.</w:t>
            </w:r>
            <w:r w:rsidRPr="005C11F2">
              <w:rPr>
                <w:rFonts w:asciiTheme="minorEastAsia" w:eastAsiaTheme="minorEastAsia" w:hAnsiTheme="minorEastAsia" w:hint="eastAsia"/>
                <w:sz w:val="21"/>
                <w:szCs w:val="21"/>
              </w:rPr>
              <w:t xml:space="preserve"> 亞太地區反腐敗行動計劃</w:t>
            </w:r>
          </w:p>
        </w:tc>
        <w:tc>
          <w:tcPr>
            <w:tcW w:w="3696" w:type="dxa"/>
            <w:vAlign w:val="center"/>
          </w:tcPr>
          <w:p w:rsidR="00E81887" w:rsidRPr="005C11F2" w:rsidRDefault="001E7D33">
            <w:pPr>
              <w:pStyle w:val="Default"/>
              <w:rPr>
                <w:rFonts w:asciiTheme="minorEastAsia" w:eastAsiaTheme="minorEastAsia" w:hAnsiTheme="minorEastAsia" w:cs="Times New Roman"/>
                <w:color w:val="323232"/>
                <w:sz w:val="21"/>
                <w:szCs w:val="21"/>
              </w:rPr>
            </w:pPr>
            <w:r w:rsidRPr="005C11F2">
              <w:rPr>
                <w:rFonts w:asciiTheme="minorEastAsia" w:eastAsiaTheme="minorEastAsia" w:hAnsiTheme="minorEastAsia" w:hint="eastAsia"/>
                <w:sz w:val="21"/>
                <w:szCs w:val="21"/>
              </w:rPr>
              <w:t>廉政公署</w:t>
            </w:r>
            <w:r w:rsidRPr="005C11F2">
              <w:rPr>
                <w:rFonts w:asciiTheme="minorEastAsia" w:eastAsiaTheme="minorEastAsia" w:hAnsiTheme="minorEastAsia"/>
                <w:sz w:val="21"/>
                <w:szCs w:val="21"/>
              </w:rPr>
              <w:t xml:space="preserve"> </w:t>
            </w:r>
          </w:p>
        </w:tc>
      </w:tr>
      <w:tr w:rsidR="00E81887" w:rsidRPr="005C11F2" w:rsidTr="009516EE">
        <w:tc>
          <w:tcPr>
            <w:tcW w:w="5353" w:type="dxa"/>
            <w:vAlign w:val="center"/>
          </w:tcPr>
          <w:p w:rsidR="00E81887" w:rsidRPr="005C11F2" w:rsidRDefault="001E7D33">
            <w:pPr>
              <w:pStyle w:val="Default"/>
              <w:ind w:left="420" w:hangingChars="200" w:hanging="420"/>
              <w:rPr>
                <w:rFonts w:asciiTheme="minorEastAsia" w:eastAsiaTheme="minorEastAsia" w:hAnsiTheme="minorEastAsia" w:cs="Times New Roman"/>
                <w:sz w:val="21"/>
                <w:szCs w:val="21"/>
              </w:rPr>
            </w:pPr>
            <w:r w:rsidRPr="005C11F2">
              <w:rPr>
                <w:rFonts w:asciiTheme="minorEastAsia" w:eastAsiaTheme="minorEastAsia" w:hAnsiTheme="minorEastAsia" w:cs="Times New Roman"/>
                <w:sz w:val="21"/>
                <w:szCs w:val="21"/>
              </w:rPr>
              <w:t>22.</w:t>
            </w:r>
            <w:r w:rsidRPr="005C11F2">
              <w:rPr>
                <w:rFonts w:asciiTheme="minorEastAsia" w:eastAsiaTheme="minorEastAsia" w:hAnsiTheme="minorEastAsia" w:hint="eastAsia"/>
                <w:sz w:val="21"/>
                <w:szCs w:val="21"/>
              </w:rPr>
              <w:t xml:space="preserve"> </w:t>
            </w:r>
            <w:r w:rsidRPr="005C11F2">
              <w:rPr>
                <w:rFonts w:asciiTheme="minorEastAsia" w:eastAsiaTheme="minorEastAsia" w:hAnsiTheme="minorEastAsia" w:cs="Times New Roman" w:hint="eastAsia"/>
                <w:sz w:val="21"/>
                <w:szCs w:val="21"/>
              </w:rPr>
              <w:t>國際清算銀行歐文•費舍中央銀行統計委員會</w:t>
            </w:r>
            <w:r w:rsidRPr="005C11F2">
              <w:rPr>
                <w:rFonts w:asciiTheme="minorEastAsia" w:eastAsiaTheme="minorEastAsia" w:hAnsiTheme="minorEastAsia" w:cs="Times New Roman"/>
                <w:sz w:val="21"/>
                <w:szCs w:val="21"/>
              </w:rPr>
              <w:t xml:space="preserve"> </w:t>
            </w:r>
          </w:p>
        </w:tc>
        <w:tc>
          <w:tcPr>
            <w:tcW w:w="3696" w:type="dxa"/>
            <w:vAlign w:val="center"/>
          </w:tcPr>
          <w:p w:rsidR="00E81887" w:rsidRPr="005C11F2" w:rsidRDefault="001E7D33">
            <w:pPr>
              <w:pStyle w:val="Default"/>
              <w:rPr>
                <w:rFonts w:asciiTheme="minorEastAsia" w:eastAsiaTheme="minorEastAsia" w:hAnsiTheme="minorEastAsia" w:cs="Times New Roman"/>
                <w:color w:val="323232"/>
                <w:sz w:val="21"/>
                <w:szCs w:val="21"/>
              </w:rPr>
            </w:pPr>
            <w:r w:rsidRPr="005C11F2">
              <w:rPr>
                <w:rFonts w:asciiTheme="minorEastAsia" w:eastAsiaTheme="minorEastAsia" w:hAnsiTheme="minorEastAsia" w:hint="eastAsia"/>
                <w:sz w:val="21"/>
                <w:szCs w:val="21"/>
              </w:rPr>
              <w:t>金融管理局</w:t>
            </w:r>
            <w:r w:rsidRPr="005C11F2">
              <w:rPr>
                <w:rFonts w:asciiTheme="minorEastAsia" w:eastAsiaTheme="minorEastAsia" w:hAnsiTheme="minorEastAsia"/>
                <w:sz w:val="21"/>
                <w:szCs w:val="21"/>
              </w:rPr>
              <w:t xml:space="preserve"> </w:t>
            </w:r>
          </w:p>
        </w:tc>
      </w:tr>
      <w:tr w:rsidR="00E81887" w:rsidRPr="005C11F2" w:rsidTr="009516EE">
        <w:tc>
          <w:tcPr>
            <w:tcW w:w="5353" w:type="dxa"/>
            <w:vAlign w:val="center"/>
          </w:tcPr>
          <w:p w:rsidR="00E81887" w:rsidRPr="005C11F2" w:rsidRDefault="001E7D33">
            <w:pPr>
              <w:pStyle w:val="Default"/>
              <w:rPr>
                <w:rFonts w:asciiTheme="minorEastAsia" w:eastAsiaTheme="minorEastAsia" w:hAnsiTheme="minorEastAsia" w:cs="Times New Roman"/>
                <w:sz w:val="21"/>
                <w:szCs w:val="21"/>
              </w:rPr>
            </w:pPr>
            <w:r w:rsidRPr="005C11F2">
              <w:rPr>
                <w:rFonts w:asciiTheme="minorEastAsia" w:eastAsiaTheme="minorEastAsia" w:hAnsiTheme="minorEastAsia" w:cs="Times New Roman"/>
                <w:sz w:val="21"/>
                <w:szCs w:val="21"/>
              </w:rPr>
              <w:t>23.</w:t>
            </w:r>
            <w:r w:rsidRPr="005C11F2">
              <w:rPr>
                <w:rFonts w:asciiTheme="minorEastAsia" w:eastAsiaTheme="minorEastAsia" w:hAnsiTheme="minorEastAsia" w:hint="eastAsia"/>
                <w:sz w:val="21"/>
                <w:szCs w:val="21"/>
              </w:rPr>
              <w:t xml:space="preserve"> 艾格蒙聯盟</w:t>
            </w:r>
          </w:p>
        </w:tc>
        <w:tc>
          <w:tcPr>
            <w:tcW w:w="3696" w:type="dxa"/>
            <w:vAlign w:val="center"/>
          </w:tcPr>
          <w:p w:rsidR="00E81887" w:rsidRPr="005C11F2" w:rsidRDefault="001E7D33">
            <w:pPr>
              <w:pStyle w:val="Default"/>
              <w:rPr>
                <w:rFonts w:asciiTheme="minorEastAsia" w:eastAsiaTheme="minorEastAsia" w:hAnsiTheme="minorEastAsia" w:cs="Times New Roman"/>
                <w:color w:val="323232"/>
                <w:sz w:val="21"/>
                <w:szCs w:val="21"/>
              </w:rPr>
            </w:pPr>
            <w:r w:rsidRPr="005C11F2">
              <w:rPr>
                <w:rFonts w:asciiTheme="minorEastAsia" w:eastAsiaTheme="minorEastAsia" w:hAnsiTheme="minorEastAsia" w:hint="eastAsia"/>
                <w:sz w:val="21"/>
                <w:szCs w:val="21"/>
              </w:rPr>
              <w:t>金融情報辦公室</w:t>
            </w:r>
            <w:r w:rsidRPr="005C11F2">
              <w:rPr>
                <w:rFonts w:asciiTheme="minorEastAsia" w:eastAsiaTheme="minorEastAsia" w:hAnsiTheme="minorEastAsia" w:cs="Times New Roman"/>
                <w:color w:val="323232"/>
                <w:sz w:val="21"/>
                <w:szCs w:val="21"/>
              </w:rPr>
              <w:t xml:space="preserve"> </w:t>
            </w:r>
          </w:p>
        </w:tc>
      </w:tr>
      <w:tr w:rsidR="00E81887" w:rsidRPr="005C11F2" w:rsidTr="009516EE">
        <w:tc>
          <w:tcPr>
            <w:tcW w:w="5353" w:type="dxa"/>
            <w:vAlign w:val="center"/>
          </w:tcPr>
          <w:p w:rsidR="00E81887" w:rsidRPr="005C11F2" w:rsidRDefault="001E7D33">
            <w:pPr>
              <w:pStyle w:val="Default"/>
              <w:rPr>
                <w:rFonts w:asciiTheme="minorEastAsia" w:eastAsiaTheme="minorEastAsia" w:hAnsiTheme="minorEastAsia" w:cs="Times New Roman"/>
                <w:sz w:val="21"/>
                <w:szCs w:val="21"/>
              </w:rPr>
            </w:pPr>
            <w:r w:rsidRPr="005C11F2">
              <w:rPr>
                <w:rFonts w:asciiTheme="minorEastAsia" w:eastAsiaTheme="minorEastAsia" w:hAnsiTheme="minorEastAsia" w:cs="Times New Roman"/>
                <w:sz w:val="21"/>
                <w:szCs w:val="21"/>
              </w:rPr>
              <w:t>24.</w:t>
            </w:r>
            <w:r w:rsidRPr="005C11F2">
              <w:rPr>
                <w:rFonts w:asciiTheme="minorEastAsia" w:eastAsiaTheme="minorEastAsia" w:hAnsiTheme="minorEastAsia" w:hint="eastAsia"/>
                <w:sz w:val="21"/>
                <w:szCs w:val="21"/>
              </w:rPr>
              <w:t xml:space="preserve"> 亞太區緝毒會議</w:t>
            </w:r>
          </w:p>
        </w:tc>
        <w:tc>
          <w:tcPr>
            <w:tcW w:w="3696" w:type="dxa"/>
            <w:vAlign w:val="center"/>
          </w:tcPr>
          <w:p w:rsidR="00E81887" w:rsidRPr="005C11F2" w:rsidRDefault="001E7D33">
            <w:pPr>
              <w:spacing w:after="0" w:line="240" w:lineRule="auto"/>
              <w:jc w:val="left"/>
              <w:rPr>
                <w:rFonts w:asciiTheme="minorEastAsia" w:hAnsiTheme="minorEastAsia"/>
                <w:szCs w:val="21"/>
              </w:rPr>
            </w:pPr>
            <w:r w:rsidRPr="005C11F2">
              <w:rPr>
                <w:rFonts w:asciiTheme="minorEastAsia" w:hAnsiTheme="minorEastAsia" w:hint="eastAsia"/>
                <w:szCs w:val="21"/>
              </w:rPr>
              <w:t>司法警察局</w:t>
            </w:r>
          </w:p>
        </w:tc>
      </w:tr>
      <w:tr w:rsidR="00E81887" w:rsidRPr="005C11F2" w:rsidTr="009516EE">
        <w:tc>
          <w:tcPr>
            <w:tcW w:w="5353" w:type="dxa"/>
            <w:vAlign w:val="center"/>
          </w:tcPr>
          <w:p w:rsidR="00E81887" w:rsidRPr="005C11F2" w:rsidRDefault="001E7D33">
            <w:pPr>
              <w:pStyle w:val="Default"/>
              <w:rPr>
                <w:rFonts w:asciiTheme="minorEastAsia" w:eastAsiaTheme="minorEastAsia" w:hAnsiTheme="minorEastAsia" w:cs="Times New Roman"/>
                <w:sz w:val="21"/>
                <w:szCs w:val="21"/>
              </w:rPr>
            </w:pPr>
            <w:r w:rsidRPr="005C11F2">
              <w:rPr>
                <w:rFonts w:asciiTheme="minorEastAsia" w:eastAsiaTheme="minorEastAsia" w:hAnsiTheme="minorEastAsia" w:cs="Times New Roman"/>
                <w:sz w:val="21"/>
                <w:szCs w:val="21"/>
              </w:rPr>
              <w:t>25.</w:t>
            </w:r>
            <w:r w:rsidRPr="005C11F2">
              <w:rPr>
                <w:rFonts w:asciiTheme="minorEastAsia" w:eastAsiaTheme="minorEastAsia" w:hAnsiTheme="minorEastAsia" w:hint="eastAsia"/>
                <w:sz w:val="21"/>
                <w:szCs w:val="21"/>
              </w:rPr>
              <w:t xml:space="preserve"> 遠東區域工作會議</w:t>
            </w:r>
          </w:p>
        </w:tc>
        <w:tc>
          <w:tcPr>
            <w:tcW w:w="3696" w:type="dxa"/>
            <w:vAlign w:val="center"/>
          </w:tcPr>
          <w:p w:rsidR="00E81887" w:rsidRPr="005C11F2" w:rsidRDefault="001E7D33">
            <w:pPr>
              <w:spacing w:after="0" w:line="240" w:lineRule="auto"/>
              <w:jc w:val="left"/>
              <w:rPr>
                <w:rFonts w:asciiTheme="minorEastAsia" w:hAnsiTheme="minorEastAsia"/>
                <w:szCs w:val="21"/>
              </w:rPr>
            </w:pPr>
            <w:r w:rsidRPr="005C11F2">
              <w:rPr>
                <w:rFonts w:asciiTheme="minorEastAsia" w:hAnsiTheme="minorEastAsia" w:hint="eastAsia"/>
                <w:szCs w:val="21"/>
              </w:rPr>
              <w:t>司法警察局</w:t>
            </w:r>
          </w:p>
        </w:tc>
      </w:tr>
      <w:tr w:rsidR="00E81887" w:rsidRPr="005C11F2" w:rsidTr="009516EE">
        <w:tc>
          <w:tcPr>
            <w:tcW w:w="5353" w:type="dxa"/>
            <w:vAlign w:val="center"/>
          </w:tcPr>
          <w:p w:rsidR="00E81887" w:rsidRPr="005C11F2" w:rsidRDefault="001E7D33">
            <w:pPr>
              <w:pStyle w:val="Default"/>
              <w:rPr>
                <w:rFonts w:asciiTheme="minorEastAsia" w:eastAsiaTheme="minorEastAsia" w:hAnsiTheme="minorEastAsia" w:cs="Times New Roman"/>
                <w:sz w:val="21"/>
                <w:szCs w:val="21"/>
              </w:rPr>
            </w:pPr>
            <w:r w:rsidRPr="005C11F2">
              <w:rPr>
                <w:rFonts w:asciiTheme="minorEastAsia" w:eastAsiaTheme="minorEastAsia" w:hAnsiTheme="minorEastAsia" w:cs="Times New Roman"/>
                <w:sz w:val="21"/>
                <w:szCs w:val="21"/>
              </w:rPr>
              <w:t>26.</w:t>
            </w:r>
            <w:r w:rsidRPr="005C11F2">
              <w:rPr>
                <w:rFonts w:asciiTheme="minorEastAsia" w:eastAsiaTheme="minorEastAsia" w:hAnsiTheme="minorEastAsia" w:hint="eastAsia"/>
                <w:sz w:val="21"/>
                <w:szCs w:val="21"/>
              </w:rPr>
              <w:t xml:space="preserve"> 國際刑警非法毒品全球會議</w:t>
            </w:r>
          </w:p>
        </w:tc>
        <w:tc>
          <w:tcPr>
            <w:tcW w:w="3696" w:type="dxa"/>
            <w:vAlign w:val="center"/>
          </w:tcPr>
          <w:p w:rsidR="00E81887" w:rsidRPr="005C11F2" w:rsidRDefault="001E7D33">
            <w:pPr>
              <w:spacing w:after="0" w:line="240" w:lineRule="auto"/>
              <w:jc w:val="left"/>
              <w:rPr>
                <w:rFonts w:asciiTheme="minorEastAsia" w:hAnsiTheme="minorEastAsia"/>
                <w:szCs w:val="21"/>
              </w:rPr>
            </w:pPr>
            <w:r w:rsidRPr="005C11F2">
              <w:rPr>
                <w:rFonts w:asciiTheme="minorEastAsia" w:hAnsiTheme="minorEastAsia" w:hint="eastAsia"/>
                <w:szCs w:val="21"/>
              </w:rPr>
              <w:t>司法警察局</w:t>
            </w:r>
          </w:p>
        </w:tc>
      </w:tr>
      <w:tr w:rsidR="00E81887" w:rsidRPr="005C11F2" w:rsidTr="009516EE">
        <w:tc>
          <w:tcPr>
            <w:tcW w:w="5353" w:type="dxa"/>
            <w:vAlign w:val="center"/>
          </w:tcPr>
          <w:p w:rsidR="00E81887" w:rsidRPr="009516EE" w:rsidRDefault="001E7D33" w:rsidP="009516EE">
            <w:pPr>
              <w:pStyle w:val="Default"/>
              <w:rPr>
                <w:rFonts w:asciiTheme="minorEastAsia" w:eastAsiaTheme="minorEastAsia" w:hAnsiTheme="minorEastAsia"/>
                <w:sz w:val="21"/>
                <w:szCs w:val="21"/>
              </w:rPr>
            </w:pPr>
            <w:r w:rsidRPr="005C11F2">
              <w:rPr>
                <w:rFonts w:asciiTheme="minorEastAsia" w:eastAsiaTheme="minorEastAsia" w:hAnsiTheme="minorEastAsia" w:cs="Times New Roman"/>
                <w:sz w:val="21"/>
                <w:szCs w:val="21"/>
              </w:rPr>
              <w:t>27.</w:t>
            </w:r>
            <w:r w:rsidRPr="005C11F2">
              <w:rPr>
                <w:rFonts w:asciiTheme="minorEastAsia" w:eastAsiaTheme="minorEastAsia" w:hAnsiTheme="minorEastAsia" w:hint="eastAsia"/>
                <w:sz w:val="21"/>
                <w:szCs w:val="21"/>
              </w:rPr>
              <w:t xml:space="preserve"> 經濟合作發展組織 (OECD)學生能力國際評估計劃</w:t>
            </w:r>
          </w:p>
        </w:tc>
        <w:tc>
          <w:tcPr>
            <w:tcW w:w="3696" w:type="dxa"/>
            <w:vAlign w:val="center"/>
          </w:tcPr>
          <w:p w:rsidR="00E81887" w:rsidRPr="005C11F2" w:rsidRDefault="001E7D33">
            <w:pPr>
              <w:spacing w:after="0" w:line="240" w:lineRule="auto"/>
              <w:jc w:val="left"/>
              <w:rPr>
                <w:rFonts w:asciiTheme="minorEastAsia" w:hAnsiTheme="minorEastAsia"/>
                <w:szCs w:val="21"/>
              </w:rPr>
            </w:pPr>
            <w:r w:rsidRPr="005C11F2">
              <w:rPr>
                <w:rFonts w:asciiTheme="minorEastAsia" w:hAnsiTheme="minorEastAsia" w:hint="eastAsia"/>
                <w:szCs w:val="21"/>
              </w:rPr>
              <w:t>教育暨青年局</w:t>
            </w:r>
            <w:r w:rsidRPr="005C11F2">
              <w:rPr>
                <w:rFonts w:asciiTheme="minorEastAsia" w:hAnsiTheme="minorEastAsia"/>
                <w:szCs w:val="21"/>
              </w:rPr>
              <w:t xml:space="preserve"> </w:t>
            </w:r>
          </w:p>
        </w:tc>
      </w:tr>
      <w:tr w:rsidR="00E81887" w:rsidRPr="009516EE" w:rsidTr="009516EE">
        <w:tc>
          <w:tcPr>
            <w:tcW w:w="5353" w:type="dxa"/>
            <w:vAlign w:val="center"/>
          </w:tcPr>
          <w:p w:rsidR="00E81887" w:rsidRPr="009516EE" w:rsidRDefault="001E7D33" w:rsidP="009516EE">
            <w:pPr>
              <w:pStyle w:val="Default"/>
              <w:ind w:left="424" w:hangingChars="202" w:hanging="424"/>
              <w:rPr>
                <w:rFonts w:asciiTheme="minorEastAsia" w:eastAsiaTheme="minorEastAsia" w:hAnsiTheme="minorEastAsia" w:cs="Times New Roman"/>
                <w:sz w:val="21"/>
                <w:szCs w:val="21"/>
              </w:rPr>
            </w:pPr>
            <w:r w:rsidRPr="005C11F2">
              <w:rPr>
                <w:rFonts w:asciiTheme="minorEastAsia" w:eastAsiaTheme="minorEastAsia" w:hAnsiTheme="minorEastAsia" w:cs="Times New Roman"/>
                <w:sz w:val="21"/>
                <w:szCs w:val="21"/>
              </w:rPr>
              <w:t>28.</w:t>
            </w:r>
            <w:r w:rsidRPr="009516EE">
              <w:rPr>
                <w:rFonts w:asciiTheme="minorEastAsia" w:eastAsiaTheme="minorEastAsia" w:hAnsiTheme="minorEastAsia" w:cs="Times New Roman" w:hint="eastAsia"/>
                <w:sz w:val="21"/>
                <w:szCs w:val="21"/>
              </w:rPr>
              <w:t xml:space="preserve"> 國際教育成績評估協會“全球學生閱讀能力進展研究 ”IEA-PIRLS</w:t>
            </w:r>
          </w:p>
        </w:tc>
        <w:tc>
          <w:tcPr>
            <w:tcW w:w="3696" w:type="dxa"/>
            <w:vAlign w:val="center"/>
          </w:tcPr>
          <w:p w:rsidR="00E81887" w:rsidRPr="009516EE" w:rsidRDefault="001E7D33" w:rsidP="009516EE">
            <w:pPr>
              <w:pStyle w:val="Default"/>
              <w:ind w:left="210" w:hangingChars="100" w:hanging="210"/>
              <w:rPr>
                <w:rFonts w:asciiTheme="minorEastAsia" w:eastAsiaTheme="minorEastAsia" w:hAnsiTheme="minorEastAsia" w:cs="Times New Roman"/>
                <w:sz w:val="21"/>
                <w:szCs w:val="21"/>
              </w:rPr>
            </w:pPr>
            <w:r w:rsidRPr="009516EE">
              <w:rPr>
                <w:rFonts w:asciiTheme="minorEastAsia" w:eastAsiaTheme="minorEastAsia" w:hAnsiTheme="minorEastAsia" w:cs="Times New Roman" w:hint="eastAsia"/>
                <w:sz w:val="21"/>
                <w:szCs w:val="21"/>
              </w:rPr>
              <w:t>教育暨青年局</w:t>
            </w:r>
            <w:r w:rsidRPr="009516EE">
              <w:rPr>
                <w:rFonts w:asciiTheme="minorEastAsia" w:eastAsiaTheme="minorEastAsia" w:hAnsiTheme="minorEastAsia" w:cs="Times New Roman"/>
                <w:sz w:val="21"/>
                <w:szCs w:val="21"/>
              </w:rPr>
              <w:t xml:space="preserve"> </w:t>
            </w:r>
          </w:p>
        </w:tc>
      </w:tr>
      <w:tr w:rsidR="00E81887" w:rsidRPr="005C11F2" w:rsidTr="009516EE">
        <w:tc>
          <w:tcPr>
            <w:tcW w:w="5353" w:type="dxa"/>
            <w:vAlign w:val="center"/>
          </w:tcPr>
          <w:p w:rsidR="00E81887" w:rsidRPr="005C11F2" w:rsidRDefault="001E7D33">
            <w:pPr>
              <w:pStyle w:val="Default"/>
              <w:rPr>
                <w:rFonts w:asciiTheme="minorEastAsia" w:eastAsiaTheme="minorEastAsia" w:hAnsiTheme="minorEastAsia" w:cs="Times New Roman"/>
                <w:sz w:val="21"/>
                <w:szCs w:val="21"/>
              </w:rPr>
            </w:pPr>
            <w:r w:rsidRPr="005C11F2">
              <w:rPr>
                <w:rFonts w:asciiTheme="minorEastAsia" w:eastAsiaTheme="minorEastAsia" w:hAnsiTheme="minorEastAsia" w:cs="Times New Roman"/>
                <w:sz w:val="21"/>
                <w:szCs w:val="21"/>
              </w:rPr>
              <w:t>29.</w:t>
            </w:r>
            <w:r w:rsidRPr="005C11F2">
              <w:rPr>
                <w:rFonts w:asciiTheme="minorEastAsia" w:eastAsiaTheme="minorEastAsia" w:hAnsiTheme="minorEastAsia" w:hint="eastAsia"/>
                <w:sz w:val="21"/>
                <w:szCs w:val="21"/>
              </w:rPr>
              <w:t xml:space="preserve"> 葡語國家共同體總檢察長會議</w:t>
            </w:r>
          </w:p>
        </w:tc>
        <w:tc>
          <w:tcPr>
            <w:tcW w:w="3696" w:type="dxa"/>
            <w:vAlign w:val="center"/>
          </w:tcPr>
          <w:p w:rsidR="00E81887" w:rsidRPr="005C11F2" w:rsidRDefault="001E7D33">
            <w:pPr>
              <w:pStyle w:val="Default"/>
              <w:rPr>
                <w:rFonts w:asciiTheme="minorEastAsia" w:eastAsiaTheme="minorEastAsia" w:hAnsiTheme="minorEastAsia" w:cs="Times New Roman"/>
                <w:sz w:val="21"/>
                <w:szCs w:val="21"/>
              </w:rPr>
            </w:pPr>
            <w:r w:rsidRPr="005C11F2">
              <w:rPr>
                <w:rFonts w:asciiTheme="minorEastAsia" w:eastAsiaTheme="minorEastAsia" w:hAnsiTheme="minorEastAsia" w:hint="eastAsia"/>
                <w:sz w:val="21"/>
                <w:szCs w:val="21"/>
              </w:rPr>
              <w:t>檢察院</w:t>
            </w:r>
          </w:p>
        </w:tc>
      </w:tr>
      <w:tr w:rsidR="00E81887" w:rsidRPr="005C11F2" w:rsidTr="009516EE">
        <w:tc>
          <w:tcPr>
            <w:tcW w:w="5353" w:type="dxa"/>
            <w:vAlign w:val="center"/>
          </w:tcPr>
          <w:p w:rsidR="00E81887" w:rsidRPr="005C11F2" w:rsidRDefault="001E7D33">
            <w:pPr>
              <w:pStyle w:val="Default"/>
              <w:rPr>
                <w:rFonts w:asciiTheme="minorEastAsia" w:eastAsiaTheme="minorEastAsia" w:hAnsiTheme="minorEastAsia" w:cs="Times New Roman"/>
                <w:sz w:val="21"/>
                <w:szCs w:val="21"/>
              </w:rPr>
            </w:pPr>
            <w:r w:rsidRPr="005C11F2">
              <w:rPr>
                <w:rFonts w:asciiTheme="minorEastAsia" w:eastAsiaTheme="minorEastAsia" w:hAnsiTheme="minorEastAsia" w:cs="Times New Roman"/>
                <w:sz w:val="21"/>
                <w:szCs w:val="21"/>
              </w:rPr>
              <w:t>30.</w:t>
            </w:r>
            <w:r w:rsidRPr="005C11F2">
              <w:rPr>
                <w:rFonts w:asciiTheme="minorEastAsia" w:eastAsiaTheme="minorEastAsia" w:hAnsiTheme="minorEastAsia" w:hint="eastAsia"/>
                <w:sz w:val="21"/>
                <w:szCs w:val="21"/>
              </w:rPr>
              <w:t xml:space="preserve"> </w:t>
            </w:r>
            <w:r w:rsidRPr="005C11F2">
              <w:rPr>
                <w:rFonts w:asciiTheme="minorEastAsia" w:eastAsiaTheme="minorEastAsia" w:hAnsiTheme="minorEastAsia" w:cs="Times New Roman" w:hint="eastAsia"/>
                <w:sz w:val="21"/>
                <w:szCs w:val="21"/>
              </w:rPr>
              <w:t>葡語系國家/</w:t>
            </w:r>
            <w:r w:rsidR="001A7765">
              <w:rPr>
                <w:rFonts w:asciiTheme="minorEastAsia" w:eastAsiaTheme="minorEastAsia" w:hAnsiTheme="minorEastAsia" w:cs="Times New Roman"/>
                <w:sz w:val="21"/>
                <w:szCs w:val="21"/>
              </w:rPr>
              <w:t xml:space="preserve"> </w:t>
            </w:r>
            <w:r w:rsidRPr="005C11F2">
              <w:rPr>
                <w:rFonts w:asciiTheme="minorEastAsia" w:eastAsiaTheme="minorEastAsia" w:hAnsiTheme="minorEastAsia" w:cs="Times New Roman" w:hint="eastAsia"/>
                <w:sz w:val="21"/>
                <w:szCs w:val="21"/>
              </w:rPr>
              <w:t xml:space="preserve">地區保險監管專員協會(ASEL)  </w:t>
            </w:r>
          </w:p>
        </w:tc>
        <w:tc>
          <w:tcPr>
            <w:tcW w:w="3696" w:type="dxa"/>
            <w:vAlign w:val="center"/>
          </w:tcPr>
          <w:p w:rsidR="00E81887" w:rsidRPr="005C11F2" w:rsidRDefault="001E7D33">
            <w:pPr>
              <w:pStyle w:val="Default"/>
              <w:rPr>
                <w:rFonts w:asciiTheme="minorEastAsia" w:eastAsiaTheme="minorEastAsia" w:hAnsiTheme="minorEastAsia"/>
                <w:sz w:val="21"/>
                <w:szCs w:val="21"/>
              </w:rPr>
            </w:pPr>
            <w:r w:rsidRPr="005C11F2">
              <w:rPr>
                <w:rFonts w:asciiTheme="minorEastAsia" w:eastAsiaTheme="minorEastAsia" w:hAnsiTheme="minorEastAsia" w:hint="eastAsia"/>
                <w:sz w:val="21"/>
                <w:szCs w:val="21"/>
              </w:rPr>
              <w:t>金融管理局</w:t>
            </w:r>
          </w:p>
        </w:tc>
      </w:tr>
    </w:tbl>
    <w:p w:rsidR="005C11F2" w:rsidRDefault="005C11F2" w:rsidP="00BE6B9D">
      <w:pPr>
        <w:snapToGrid w:val="0"/>
        <w:spacing w:beforeLines="50" w:line="360" w:lineRule="auto"/>
        <w:ind w:firstLineChars="200" w:firstLine="480"/>
        <w:rPr>
          <w:rFonts w:asciiTheme="minorEastAsia" w:hAnsiTheme="minorEastAsia" w:cs="Times New Roman"/>
          <w:color w:val="000000"/>
          <w:kern w:val="0"/>
          <w:sz w:val="24"/>
          <w:szCs w:val="24"/>
          <w:lang w:eastAsia="zh-HK"/>
        </w:rPr>
      </w:pPr>
    </w:p>
    <w:p w:rsidR="00E81887" w:rsidRPr="009C107B" w:rsidRDefault="001E7D33" w:rsidP="00BE6B9D">
      <w:pPr>
        <w:snapToGrid w:val="0"/>
        <w:spacing w:beforeLines="50" w:line="360" w:lineRule="auto"/>
        <w:ind w:firstLineChars="200" w:firstLine="480"/>
        <w:rPr>
          <w:rFonts w:asciiTheme="minorEastAsia" w:hAnsiTheme="minorEastAsia" w:cs="Times New Roman"/>
          <w:color w:val="000000"/>
          <w:kern w:val="0"/>
          <w:sz w:val="24"/>
          <w:szCs w:val="24"/>
          <w:lang w:eastAsia="zh-TW"/>
        </w:rPr>
      </w:pPr>
      <w:r w:rsidRPr="009C107B">
        <w:rPr>
          <w:rFonts w:asciiTheme="minorEastAsia" w:hAnsiTheme="minorEastAsia" w:cs="Times New Roman" w:hint="eastAsia"/>
          <w:color w:val="000000"/>
          <w:kern w:val="0"/>
          <w:sz w:val="24"/>
          <w:szCs w:val="24"/>
          <w:lang w:eastAsia="zh-HK"/>
        </w:rPr>
        <w:t>此外，值得一提是澳門特區的商貿會議及展覽平台，</w:t>
      </w:r>
      <w:r w:rsidRPr="009C107B">
        <w:rPr>
          <w:rFonts w:asciiTheme="minorEastAsia" w:hAnsiTheme="minorEastAsia" w:cs="Times New Roman" w:hint="eastAsia"/>
          <w:color w:val="000000"/>
          <w:kern w:val="0"/>
          <w:sz w:val="24"/>
          <w:szCs w:val="24"/>
          <w:lang w:eastAsia="zh-TW"/>
        </w:rPr>
        <w:t>根據澳門特區</w:t>
      </w:r>
      <w:r w:rsidRPr="009C107B">
        <w:rPr>
          <w:rFonts w:asciiTheme="minorEastAsia" w:hAnsiTheme="minorEastAsia" w:cs="Times New Roman" w:hint="eastAsia"/>
          <w:color w:val="000000"/>
          <w:kern w:val="0"/>
          <w:sz w:val="24"/>
          <w:szCs w:val="24"/>
          <w:lang w:eastAsia="zh-HK"/>
        </w:rPr>
        <w:t>統計暨普查局</w:t>
      </w:r>
      <w:r w:rsidRPr="009C107B">
        <w:rPr>
          <w:rFonts w:asciiTheme="minorEastAsia" w:hAnsiTheme="minorEastAsia" w:cs="Times New Roman" w:hint="eastAsia"/>
          <w:color w:val="000000"/>
          <w:kern w:val="0"/>
          <w:sz w:val="24"/>
          <w:szCs w:val="24"/>
          <w:lang w:eastAsia="zh-TW"/>
        </w:rPr>
        <w:t>2019</w:t>
      </w:r>
      <w:r w:rsidRPr="009C107B">
        <w:rPr>
          <w:rFonts w:asciiTheme="minorEastAsia" w:hAnsiTheme="minorEastAsia" w:cs="Times New Roman" w:hint="eastAsia"/>
          <w:color w:val="000000"/>
          <w:kern w:val="0"/>
          <w:sz w:val="24"/>
          <w:szCs w:val="24"/>
          <w:lang w:eastAsia="zh-HK"/>
        </w:rPr>
        <w:t>會議及展覽統計</w:t>
      </w:r>
      <w:r w:rsidRPr="009C107B">
        <w:rPr>
          <w:rFonts w:asciiTheme="minorEastAsia" w:hAnsiTheme="minorEastAsia" w:cs="Times New Roman" w:hint="eastAsia"/>
          <w:color w:val="000000"/>
          <w:kern w:val="0"/>
          <w:sz w:val="24"/>
          <w:szCs w:val="24"/>
          <w:lang w:eastAsia="zh-TW"/>
        </w:rPr>
        <w:t>資料，</w:t>
      </w:r>
      <w:r w:rsidRPr="009C107B">
        <w:rPr>
          <w:rFonts w:asciiTheme="minorEastAsia" w:hAnsiTheme="minorEastAsia" w:cs="Times New Roman"/>
          <w:color w:val="000000"/>
          <w:kern w:val="0"/>
          <w:sz w:val="24"/>
          <w:szCs w:val="24"/>
          <w:lang w:eastAsia="zh-TW"/>
        </w:rPr>
        <w:t>2019年</w:t>
      </w:r>
      <w:r w:rsidRPr="009C107B">
        <w:rPr>
          <w:rFonts w:asciiTheme="minorEastAsia" w:hAnsiTheme="minorEastAsia" w:cs="Times New Roman" w:hint="eastAsia"/>
          <w:color w:val="000000"/>
          <w:kern w:val="0"/>
          <w:sz w:val="24"/>
          <w:szCs w:val="24"/>
          <w:lang w:eastAsia="zh-TW"/>
        </w:rPr>
        <w:t>合</w:t>
      </w:r>
      <w:r w:rsidRPr="009C107B">
        <w:rPr>
          <w:rFonts w:asciiTheme="minorEastAsia" w:hAnsiTheme="minorEastAsia" w:cs="Times New Roman"/>
          <w:color w:val="000000"/>
          <w:kern w:val="0"/>
          <w:sz w:val="24"/>
          <w:szCs w:val="24"/>
          <w:lang w:eastAsia="zh-TW"/>
        </w:rPr>
        <w:t>共</w:t>
      </w:r>
      <w:r w:rsidRPr="009C107B">
        <w:rPr>
          <w:rFonts w:asciiTheme="minorEastAsia" w:hAnsiTheme="minorEastAsia" w:cs="Times New Roman" w:hint="eastAsia"/>
          <w:color w:val="000000"/>
          <w:kern w:val="0"/>
          <w:sz w:val="24"/>
          <w:szCs w:val="24"/>
          <w:lang w:eastAsia="zh-TW"/>
        </w:rPr>
        <w:t>有</w:t>
      </w:r>
      <w:r w:rsidRPr="009C107B">
        <w:rPr>
          <w:rFonts w:asciiTheme="minorEastAsia" w:hAnsiTheme="minorEastAsia" w:cs="Times New Roman"/>
          <w:color w:val="000000"/>
          <w:kern w:val="0"/>
          <w:sz w:val="24"/>
          <w:szCs w:val="24"/>
          <w:lang w:eastAsia="zh-TW"/>
        </w:rPr>
        <w:t>1,536項會</w:t>
      </w:r>
      <w:r w:rsidRPr="009C107B">
        <w:rPr>
          <w:rFonts w:asciiTheme="minorEastAsia" w:hAnsiTheme="minorEastAsia" w:cs="Times New Roman" w:hint="eastAsia"/>
          <w:color w:val="000000"/>
          <w:kern w:val="0"/>
          <w:sz w:val="24"/>
          <w:szCs w:val="24"/>
          <w:lang w:eastAsia="zh-TW"/>
        </w:rPr>
        <w:t>議</w:t>
      </w:r>
      <w:r w:rsidRPr="009C107B">
        <w:rPr>
          <w:rFonts w:asciiTheme="minorEastAsia" w:hAnsiTheme="minorEastAsia" w:cs="Times New Roman"/>
          <w:color w:val="000000"/>
          <w:kern w:val="0"/>
          <w:sz w:val="24"/>
          <w:szCs w:val="24"/>
          <w:lang w:eastAsia="zh-TW"/>
        </w:rPr>
        <w:t>展</w:t>
      </w:r>
      <w:r w:rsidRPr="009C107B">
        <w:rPr>
          <w:rFonts w:asciiTheme="minorEastAsia" w:hAnsiTheme="minorEastAsia" w:cs="Times New Roman" w:hint="eastAsia"/>
          <w:color w:val="000000"/>
          <w:kern w:val="0"/>
          <w:sz w:val="24"/>
          <w:szCs w:val="24"/>
          <w:lang w:eastAsia="zh-TW"/>
        </w:rPr>
        <w:t>覽</w:t>
      </w:r>
      <w:r w:rsidRPr="009C107B">
        <w:rPr>
          <w:rFonts w:asciiTheme="minorEastAsia" w:hAnsiTheme="minorEastAsia" w:cs="Times New Roman"/>
          <w:color w:val="000000"/>
          <w:kern w:val="0"/>
          <w:sz w:val="24"/>
          <w:szCs w:val="24"/>
          <w:lang w:eastAsia="zh-TW"/>
        </w:rPr>
        <w:t>活動，</w:t>
      </w:r>
      <w:r w:rsidRPr="009C107B">
        <w:rPr>
          <w:rFonts w:asciiTheme="minorEastAsia" w:hAnsiTheme="minorEastAsia" w:cs="Times New Roman" w:hint="eastAsia"/>
          <w:color w:val="000000"/>
          <w:kern w:val="0"/>
          <w:sz w:val="24"/>
          <w:szCs w:val="24"/>
          <w:lang w:eastAsia="zh-TW"/>
        </w:rPr>
        <w:t>與2018年比較</w:t>
      </w:r>
      <w:r w:rsidRPr="009C107B">
        <w:rPr>
          <w:rFonts w:asciiTheme="minorEastAsia" w:hAnsiTheme="minorEastAsia" w:cs="Times New Roman"/>
          <w:color w:val="000000"/>
          <w:kern w:val="0"/>
          <w:sz w:val="24"/>
          <w:szCs w:val="24"/>
          <w:lang w:eastAsia="zh-TW"/>
        </w:rPr>
        <w:t>增加</w:t>
      </w:r>
      <w:r w:rsidRPr="009C107B">
        <w:rPr>
          <w:rFonts w:asciiTheme="minorEastAsia" w:hAnsiTheme="minorEastAsia" w:cs="Times New Roman" w:hint="eastAsia"/>
          <w:color w:val="000000"/>
          <w:kern w:val="0"/>
          <w:sz w:val="24"/>
          <w:szCs w:val="24"/>
          <w:lang w:eastAsia="zh-TW"/>
        </w:rPr>
        <w:t>了</w:t>
      </w:r>
      <w:r w:rsidRPr="009C107B">
        <w:rPr>
          <w:rFonts w:asciiTheme="minorEastAsia" w:hAnsiTheme="minorEastAsia" w:cs="Times New Roman"/>
          <w:color w:val="000000"/>
          <w:kern w:val="0"/>
          <w:sz w:val="24"/>
          <w:szCs w:val="24"/>
          <w:lang w:eastAsia="zh-TW"/>
        </w:rPr>
        <w:t>109項，</w:t>
      </w:r>
      <w:r w:rsidRPr="009C107B">
        <w:rPr>
          <w:rFonts w:asciiTheme="minorEastAsia" w:hAnsiTheme="minorEastAsia" w:cs="Times New Roman" w:hint="eastAsia"/>
          <w:color w:val="000000"/>
          <w:kern w:val="0"/>
          <w:sz w:val="24"/>
          <w:szCs w:val="24"/>
          <w:lang w:eastAsia="zh-TW"/>
        </w:rPr>
        <w:t>包括</w:t>
      </w:r>
      <w:r w:rsidRPr="009C107B">
        <w:rPr>
          <w:rFonts w:asciiTheme="minorEastAsia" w:hAnsiTheme="minorEastAsia" w:cs="Times New Roman"/>
          <w:color w:val="000000"/>
          <w:kern w:val="0"/>
          <w:sz w:val="24"/>
          <w:szCs w:val="24"/>
          <w:lang w:eastAsia="zh-TW"/>
        </w:rPr>
        <w:t>有1,459項會議、58項展覽及19項奬勵活動；</w:t>
      </w:r>
      <w:r w:rsidRPr="009C107B">
        <w:rPr>
          <w:rFonts w:asciiTheme="minorEastAsia" w:hAnsiTheme="minorEastAsia" w:cs="Times New Roman" w:hint="eastAsia"/>
          <w:color w:val="000000"/>
          <w:kern w:val="0"/>
          <w:sz w:val="24"/>
          <w:szCs w:val="24"/>
          <w:lang w:eastAsia="zh-TW"/>
        </w:rPr>
        <w:t>參與人數約</w:t>
      </w:r>
      <w:r w:rsidRPr="009C107B">
        <w:rPr>
          <w:rFonts w:asciiTheme="minorEastAsia" w:hAnsiTheme="minorEastAsia" w:cs="Times New Roman"/>
          <w:color w:val="000000"/>
          <w:kern w:val="0"/>
          <w:sz w:val="24"/>
          <w:szCs w:val="24"/>
          <w:lang w:eastAsia="zh-TW"/>
        </w:rPr>
        <w:t>200萬人次</w:t>
      </w:r>
      <w:r w:rsidRPr="009C107B">
        <w:rPr>
          <w:rFonts w:asciiTheme="minorEastAsia" w:hAnsiTheme="minorEastAsia" w:cs="Times New Roman" w:hint="eastAsia"/>
          <w:color w:val="000000"/>
          <w:kern w:val="0"/>
          <w:sz w:val="24"/>
          <w:szCs w:val="24"/>
          <w:lang w:eastAsia="zh-TW"/>
        </w:rPr>
        <w:t>，全年會議總使用面積共</w:t>
      </w:r>
      <w:r w:rsidRPr="009C107B">
        <w:rPr>
          <w:rFonts w:asciiTheme="minorEastAsia" w:hAnsiTheme="minorEastAsia" w:cs="Times New Roman"/>
          <w:color w:val="000000"/>
          <w:kern w:val="0"/>
          <w:sz w:val="24"/>
          <w:szCs w:val="24"/>
          <w:lang w:eastAsia="zh-TW"/>
        </w:rPr>
        <w:t>119.4萬平方米。</w:t>
      </w:r>
      <w:r w:rsidRPr="009C107B">
        <w:rPr>
          <w:rFonts w:asciiTheme="minorEastAsia" w:hAnsiTheme="minorEastAsia" w:cs="Times New Roman" w:hint="eastAsia"/>
          <w:color w:val="000000"/>
          <w:kern w:val="0"/>
          <w:sz w:val="24"/>
          <w:szCs w:val="24"/>
          <w:lang w:eastAsia="zh-TW"/>
        </w:rPr>
        <w:t>其中，</w:t>
      </w:r>
      <w:r w:rsidRPr="009C107B">
        <w:rPr>
          <w:rFonts w:asciiTheme="minorEastAsia" w:hAnsiTheme="minorEastAsia" w:cs="Times New Roman"/>
          <w:color w:val="000000"/>
          <w:kern w:val="0"/>
          <w:sz w:val="24"/>
          <w:szCs w:val="24"/>
          <w:lang w:eastAsia="zh-TW"/>
        </w:rPr>
        <w:t>48項非政府</w:t>
      </w:r>
      <w:r w:rsidRPr="009C107B">
        <w:rPr>
          <w:rFonts w:asciiTheme="minorEastAsia" w:hAnsiTheme="minorEastAsia" w:cs="Times New Roman"/>
          <w:color w:val="000000"/>
          <w:kern w:val="0"/>
          <w:sz w:val="24"/>
          <w:szCs w:val="24"/>
          <w:lang w:eastAsia="zh-TW"/>
        </w:rPr>
        <w:lastRenderedPageBreak/>
        <w:t>機構主辦的展覽收入共1.7億元，有60.1%來自攤位租金；支出為1.5億元，展場</w:t>
      </w:r>
      <w:r w:rsidR="001B1604">
        <w:rPr>
          <w:rFonts w:asciiTheme="minorEastAsia" w:hAnsiTheme="minorEastAsia" w:cs="Times New Roman" w:hint="eastAsia"/>
          <w:color w:val="000000"/>
          <w:kern w:val="0"/>
          <w:sz w:val="24"/>
          <w:szCs w:val="24"/>
          <w:lang w:eastAsia="zh-TW"/>
        </w:rPr>
        <w:t>製</w:t>
      </w:r>
      <w:r w:rsidRPr="009C107B">
        <w:rPr>
          <w:rFonts w:asciiTheme="minorEastAsia" w:hAnsiTheme="minorEastAsia" w:cs="Times New Roman"/>
          <w:color w:val="000000"/>
          <w:kern w:val="0"/>
          <w:sz w:val="24"/>
          <w:szCs w:val="24"/>
          <w:lang w:eastAsia="zh-TW"/>
        </w:rPr>
        <w:t>作及佈置和場地租金分別佔26.7%及20.8%。</w:t>
      </w:r>
    </w:p>
    <w:p w:rsidR="00E81887" w:rsidRPr="005C11F2" w:rsidRDefault="001E7D33" w:rsidP="00BE6B9D">
      <w:pPr>
        <w:snapToGrid w:val="0"/>
        <w:spacing w:beforeLines="50" w:line="240" w:lineRule="auto"/>
        <w:jc w:val="center"/>
        <w:rPr>
          <w:rFonts w:asciiTheme="minorEastAsia" w:hAnsiTheme="minorEastAsia" w:cs="Times New Roman"/>
          <w:b/>
          <w:color w:val="000000"/>
          <w:kern w:val="0"/>
          <w:szCs w:val="21"/>
          <w:lang w:eastAsia="zh-TW"/>
        </w:rPr>
      </w:pPr>
      <w:r w:rsidRPr="005C11F2">
        <w:rPr>
          <w:rFonts w:asciiTheme="minorEastAsia" w:hAnsiTheme="minorEastAsia" w:cs="Times New Roman" w:hint="eastAsia"/>
          <w:b/>
          <w:color w:val="000000"/>
          <w:kern w:val="0"/>
          <w:szCs w:val="21"/>
          <w:lang w:eastAsia="zh-TW"/>
        </w:rPr>
        <w:t>圖1</w:t>
      </w:r>
      <w:r w:rsidR="005C11F2">
        <w:rPr>
          <w:rFonts w:asciiTheme="minorEastAsia" w:hAnsiTheme="minorEastAsia" w:cs="Times New Roman" w:hint="eastAsia"/>
          <w:b/>
          <w:color w:val="000000"/>
          <w:kern w:val="0"/>
          <w:szCs w:val="21"/>
          <w:lang w:eastAsia="zh-TW"/>
        </w:rPr>
        <w:t>、</w:t>
      </w:r>
      <w:r w:rsidRPr="005C11F2">
        <w:rPr>
          <w:rFonts w:asciiTheme="minorEastAsia" w:hAnsiTheme="minorEastAsia" w:cs="Times New Roman" w:hint="eastAsia"/>
          <w:b/>
          <w:color w:val="000000"/>
          <w:kern w:val="0"/>
          <w:szCs w:val="21"/>
          <w:lang w:eastAsia="zh-TW"/>
        </w:rPr>
        <w:t xml:space="preserve"> </w:t>
      </w:r>
      <w:r w:rsidRPr="005C11F2">
        <w:rPr>
          <w:rFonts w:asciiTheme="minorEastAsia" w:hAnsiTheme="minorEastAsia" w:cs="Times New Roman"/>
          <w:b/>
          <w:color w:val="000000"/>
          <w:kern w:val="0"/>
          <w:szCs w:val="21"/>
          <w:lang w:eastAsia="zh-TW"/>
        </w:rPr>
        <w:t>2019年第4季</w:t>
      </w:r>
      <w:r w:rsidRPr="005C11F2">
        <w:rPr>
          <w:rFonts w:asciiTheme="minorEastAsia" w:hAnsiTheme="minorEastAsia" w:cs="Times New Roman" w:hint="eastAsia"/>
          <w:b/>
          <w:color w:val="000000"/>
          <w:kern w:val="0"/>
          <w:szCs w:val="21"/>
          <w:lang w:eastAsia="zh-TW"/>
        </w:rPr>
        <w:t>澳門特區</w:t>
      </w:r>
      <w:r w:rsidRPr="005C11F2">
        <w:rPr>
          <w:rFonts w:asciiTheme="minorEastAsia" w:hAnsiTheme="minorEastAsia" w:cs="Times New Roman"/>
          <w:b/>
          <w:color w:val="000000"/>
          <w:kern w:val="0"/>
          <w:szCs w:val="21"/>
          <w:lang w:eastAsia="zh-TW"/>
        </w:rPr>
        <w:t>會議及展覽統計</w:t>
      </w:r>
      <w:r w:rsidRPr="005C11F2">
        <w:rPr>
          <w:rFonts w:asciiTheme="minorEastAsia" w:hAnsiTheme="minorEastAsia" w:cs="Times New Roman" w:hint="eastAsia"/>
          <w:b/>
          <w:color w:val="000000"/>
          <w:kern w:val="0"/>
          <w:szCs w:val="21"/>
          <w:lang w:eastAsia="zh-TW"/>
        </w:rPr>
        <w:t xml:space="preserve"> (4小時或以上)</w:t>
      </w:r>
    </w:p>
    <w:p w:rsidR="005C11F2" w:rsidRPr="005C11F2" w:rsidRDefault="001E7D33" w:rsidP="00BE6B9D">
      <w:pPr>
        <w:snapToGrid w:val="0"/>
        <w:spacing w:beforeLines="50" w:line="360" w:lineRule="auto"/>
        <w:ind w:firstLineChars="200" w:firstLine="480"/>
        <w:jc w:val="center"/>
        <w:rPr>
          <w:rFonts w:asciiTheme="minorEastAsia" w:hAnsiTheme="minorEastAsia" w:cs="Times New Roman"/>
          <w:color w:val="000000"/>
          <w:kern w:val="0"/>
          <w:sz w:val="24"/>
          <w:szCs w:val="24"/>
          <w:lang w:eastAsia="zh-TW"/>
        </w:rPr>
      </w:pPr>
      <w:r w:rsidRPr="009C107B">
        <w:rPr>
          <w:rFonts w:asciiTheme="minorEastAsia" w:hAnsiTheme="minorEastAsia" w:cs="Times New Roman" w:hint="eastAsia"/>
          <w:noProof/>
          <w:color w:val="000000"/>
          <w:kern w:val="0"/>
          <w:sz w:val="24"/>
          <w:szCs w:val="24"/>
        </w:rPr>
        <w:drawing>
          <wp:inline distT="0" distB="0" distL="0" distR="0">
            <wp:extent cx="2757805" cy="2087880"/>
            <wp:effectExtent l="19050" t="0" r="398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rcRect t="15000" r="1418"/>
                    <a:stretch>
                      <a:fillRect/>
                    </a:stretch>
                  </pic:blipFill>
                  <pic:spPr>
                    <a:xfrm>
                      <a:off x="0" y="0"/>
                      <a:ext cx="2758269" cy="2088108"/>
                    </a:xfrm>
                    <a:prstGeom prst="rect">
                      <a:avLst/>
                    </a:prstGeom>
                    <a:noFill/>
                    <a:ln w="9525">
                      <a:noFill/>
                      <a:miter lim="800000"/>
                      <a:headEnd/>
                      <a:tailEnd/>
                    </a:ln>
                  </pic:spPr>
                </pic:pic>
              </a:graphicData>
            </a:graphic>
          </wp:inline>
        </w:drawing>
      </w:r>
    </w:p>
    <w:p w:rsidR="00E81887" w:rsidRPr="006F3E67" w:rsidRDefault="001E7D33" w:rsidP="00BE6B9D">
      <w:pPr>
        <w:pStyle w:val="ListParagraph"/>
        <w:numPr>
          <w:ilvl w:val="0"/>
          <w:numId w:val="1"/>
        </w:numPr>
        <w:spacing w:before="50" w:afterLines="50" w:line="600" w:lineRule="auto"/>
        <w:ind w:firstLineChars="0"/>
        <w:rPr>
          <w:rFonts w:asciiTheme="minorEastAsia" w:hAnsiTheme="minorEastAsia" w:cs="Times New Roman"/>
          <w:b/>
          <w:color w:val="000000"/>
          <w:kern w:val="0"/>
          <w:sz w:val="24"/>
          <w:szCs w:val="24"/>
          <w:lang w:eastAsia="zh-TW"/>
        </w:rPr>
      </w:pPr>
      <w:r w:rsidRPr="006F3E67">
        <w:rPr>
          <w:rFonts w:asciiTheme="minorEastAsia" w:hAnsiTheme="minorEastAsia" w:cs="Times New Roman" w:hint="eastAsia"/>
          <w:b/>
          <w:color w:val="000000"/>
          <w:kern w:val="0"/>
          <w:sz w:val="24"/>
          <w:szCs w:val="24"/>
          <w:lang w:eastAsia="zh-TW"/>
        </w:rPr>
        <w:t>澳門特區與葡語系國家的商務經濟效益</w:t>
      </w:r>
    </w:p>
    <w:p w:rsidR="00E81887" w:rsidRPr="005C11F2" w:rsidRDefault="001E7D33" w:rsidP="00BE6B9D">
      <w:pPr>
        <w:snapToGrid w:val="0"/>
        <w:spacing w:beforeLines="50" w:line="360" w:lineRule="auto"/>
        <w:ind w:firstLineChars="200" w:firstLine="480"/>
        <w:rPr>
          <w:rFonts w:asciiTheme="minorEastAsia" w:hAnsiTheme="minorEastAsia" w:cs="Times New Roman"/>
          <w:color w:val="000000"/>
          <w:kern w:val="0"/>
          <w:sz w:val="24"/>
          <w:szCs w:val="24"/>
          <w:lang w:eastAsia="zh-TW"/>
        </w:rPr>
      </w:pPr>
      <w:r w:rsidRPr="009C107B">
        <w:rPr>
          <w:rFonts w:asciiTheme="minorEastAsia" w:hAnsiTheme="minorEastAsia" w:cs="Times New Roman" w:hint="eastAsia"/>
          <w:color w:val="000000"/>
          <w:kern w:val="0"/>
          <w:sz w:val="24"/>
          <w:szCs w:val="24"/>
          <w:lang w:eastAsia="zh-TW"/>
        </w:rPr>
        <w:t>澳門特區透過葡萄牙政府這層特殊關係，與人口超過</w:t>
      </w:r>
      <w:r w:rsidRPr="009C107B">
        <w:rPr>
          <w:rFonts w:asciiTheme="minorEastAsia" w:hAnsiTheme="minorEastAsia" w:cs="Times New Roman"/>
          <w:color w:val="000000"/>
          <w:kern w:val="0"/>
          <w:sz w:val="24"/>
          <w:szCs w:val="24"/>
          <w:lang w:eastAsia="zh-TW"/>
        </w:rPr>
        <w:t>2.6億的葡語</w:t>
      </w:r>
      <w:r w:rsidRPr="009C107B">
        <w:rPr>
          <w:rFonts w:asciiTheme="minorEastAsia" w:hAnsiTheme="minorEastAsia" w:cs="Times New Roman" w:hint="eastAsia"/>
          <w:color w:val="000000"/>
          <w:kern w:val="0"/>
          <w:sz w:val="24"/>
          <w:szCs w:val="24"/>
          <w:lang w:eastAsia="zh-TW"/>
        </w:rPr>
        <w:t>系</w:t>
      </w:r>
      <w:r w:rsidRPr="009C107B">
        <w:rPr>
          <w:rFonts w:asciiTheme="minorEastAsia" w:hAnsiTheme="minorEastAsia" w:cs="Times New Roman"/>
          <w:color w:val="000000"/>
          <w:kern w:val="0"/>
          <w:sz w:val="24"/>
          <w:szCs w:val="24"/>
          <w:lang w:eastAsia="zh-TW"/>
        </w:rPr>
        <w:t>國家</w:t>
      </w:r>
      <w:r w:rsidRPr="009C107B">
        <w:rPr>
          <w:rFonts w:asciiTheme="minorEastAsia" w:hAnsiTheme="minorEastAsia" w:cs="Times New Roman" w:hint="eastAsia"/>
          <w:color w:val="000000"/>
          <w:kern w:val="0"/>
          <w:sz w:val="24"/>
          <w:szCs w:val="24"/>
          <w:lang w:eastAsia="zh-TW"/>
        </w:rPr>
        <w:t>成功建立了緊密聯繫</w:t>
      </w:r>
      <w:r w:rsidRPr="009C107B">
        <w:rPr>
          <w:rFonts w:asciiTheme="minorEastAsia" w:hAnsiTheme="minorEastAsia" w:cs="Times New Roman"/>
          <w:color w:val="000000"/>
          <w:kern w:val="0"/>
          <w:sz w:val="24"/>
          <w:szCs w:val="24"/>
          <w:lang w:eastAsia="zh-TW"/>
        </w:rPr>
        <w:t>，</w:t>
      </w:r>
      <w:r w:rsidRPr="009C107B">
        <w:rPr>
          <w:rFonts w:asciiTheme="minorEastAsia" w:hAnsiTheme="minorEastAsia" w:cs="Times New Roman" w:hint="eastAsia"/>
          <w:color w:val="000000"/>
          <w:kern w:val="0"/>
          <w:sz w:val="24"/>
          <w:szCs w:val="24"/>
          <w:lang w:eastAsia="zh-TW"/>
        </w:rPr>
        <w:t>更有利於</w:t>
      </w:r>
      <w:r w:rsidRPr="009C107B">
        <w:rPr>
          <w:rFonts w:asciiTheme="minorEastAsia" w:hAnsiTheme="minorEastAsia" w:cs="Times New Roman"/>
          <w:color w:val="000000"/>
          <w:kern w:val="0"/>
          <w:sz w:val="24"/>
          <w:szCs w:val="24"/>
          <w:lang w:eastAsia="zh-TW"/>
        </w:rPr>
        <w:t>中國</w:t>
      </w:r>
      <w:r w:rsidRPr="009C107B">
        <w:rPr>
          <w:rFonts w:asciiTheme="minorEastAsia" w:hAnsiTheme="minorEastAsia" w:cs="Times New Roman" w:hint="eastAsia"/>
          <w:color w:val="000000"/>
          <w:kern w:val="0"/>
          <w:sz w:val="24"/>
          <w:szCs w:val="24"/>
          <w:lang w:eastAsia="zh-TW"/>
        </w:rPr>
        <w:t>一帶一路其策略上</w:t>
      </w:r>
      <w:r w:rsidRPr="009C107B">
        <w:rPr>
          <w:rFonts w:asciiTheme="minorEastAsia" w:hAnsiTheme="minorEastAsia" w:cs="Times New Roman"/>
          <w:color w:val="000000"/>
          <w:kern w:val="0"/>
          <w:sz w:val="24"/>
          <w:szCs w:val="24"/>
          <w:lang w:eastAsia="zh-TW"/>
        </w:rPr>
        <w:t>與葡語</w:t>
      </w:r>
      <w:r w:rsidRPr="009C107B">
        <w:rPr>
          <w:rFonts w:asciiTheme="minorEastAsia" w:hAnsiTheme="minorEastAsia" w:cs="Times New Roman" w:hint="eastAsia"/>
          <w:color w:val="000000"/>
          <w:kern w:val="0"/>
          <w:sz w:val="24"/>
          <w:szCs w:val="24"/>
          <w:lang w:eastAsia="zh-TW"/>
        </w:rPr>
        <w:t>系</w:t>
      </w:r>
      <w:r w:rsidRPr="009C107B">
        <w:rPr>
          <w:rFonts w:asciiTheme="minorEastAsia" w:hAnsiTheme="minorEastAsia" w:cs="Times New Roman"/>
          <w:color w:val="000000"/>
          <w:kern w:val="0"/>
          <w:sz w:val="24"/>
          <w:szCs w:val="24"/>
          <w:lang w:eastAsia="zh-TW"/>
        </w:rPr>
        <w:t>國家商貿合作</w:t>
      </w:r>
      <w:r w:rsidRPr="009C107B">
        <w:rPr>
          <w:rFonts w:asciiTheme="minorEastAsia" w:hAnsiTheme="minorEastAsia" w:cs="Times New Roman" w:hint="eastAsia"/>
          <w:color w:val="000000"/>
          <w:kern w:val="0"/>
          <w:sz w:val="24"/>
          <w:szCs w:val="24"/>
          <w:lang w:eastAsia="zh-TW"/>
        </w:rPr>
        <w:t>發揮起</w:t>
      </w:r>
      <w:r w:rsidRPr="009C107B">
        <w:rPr>
          <w:rFonts w:asciiTheme="minorEastAsia" w:hAnsiTheme="minorEastAsia" w:cs="Times New Roman"/>
          <w:color w:val="000000"/>
          <w:kern w:val="0"/>
          <w:sz w:val="24"/>
          <w:szCs w:val="24"/>
          <w:lang w:eastAsia="zh-TW"/>
        </w:rPr>
        <w:t>服務平台</w:t>
      </w:r>
      <w:r w:rsidRPr="009C107B">
        <w:rPr>
          <w:rFonts w:asciiTheme="minorEastAsia" w:hAnsiTheme="minorEastAsia" w:cs="Times New Roman" w:hint="eastAsia"/>
          <w:color w:val="000000"/>
          <w:kern w:val="0"/>
          <w:sz w:val="24"/>
          <w:szCs w:val="24"/>
          <w:lang w:eastAsia="zh-TW"/>
        </w:rPr>
        <w:t>之</w:t>
      </w:r>
      <w:r w:rsidRPr="009C107B">
        <w:rPr>
          <w:rFonts w:asciiTheme="minorEastAsia" w:hAnsiTheme="minorEastAsia" w:cs="Times New Roman"/>
          <w:color w:val="000000"/>
          <w:kern w:val="0"/>
          <w:sz w:val="24"/>
          <w:szCs w:val="24"/>
          <w:lang w:eastAsia="zh-TW"/>
        </w:rPr>
        <w:t>作用。</w:t>
      </w:r>
      <w:r w:rsidRPr="009C107B">
        <w:rPr>
          <w:rFonts w:asciiTheme="minorEastAsia" w:hAnsiTheme="minorEastAsia" w:cs="Times New Roman" w:hint="eastAsia"/>
          <w:color w:val="000000"/>
          <w:kern w:val="0"/>
          <w:sz w:val="24"/>
          <w:szCs w:val="24"/>
          <w:lang w:eastAsia="zh-TW"/>
        </w:rPr>
        <w:t>中國</w:t>
      </w:r>
      <w:r w:rsidRPr="009C107B">
        <w:rPr>
          <w:rFonts w:asciiTheme="minorEastAsia" w:hAnsiTheme="minorEastAsia" w:cs="Times New Roman"/>
          <w:color w:val="000000"/>
          <w:kern w:val="0"/>
          <w:sz w:val="24"/>
          <w:szCs w:val="24"/>
          <w:lang w:eastAsia="zh-TW"/>
        </w:rPr>
        <w:t>-葡語國家經貿合作論壇（中葡論壇）部長級會議自2003年起，每三年一次</w:t>
      </w:r>
      <w:r w:rsidRPr="009C107B">
        <w:rPr>
          <w:rFonts w:asciiTheme="minorEastAsia" w:hAnsiTheme="minorEastAsia" w:cs="Times New Roman" w:hint="eastAsia"/>
          <w:color w:val="000000"/>
          <w:kern w:val="0"/>
          <w:sz w:val="24"/>
          <w:szCs w:val="24"/>
          <w:lang w:eastAsia="zh-TW"/>
        </w:rPr>
        <w:t>於</w:t>
      </w:r>
      <w:r w:rsidRPr="009C107B">
        <w:rPr>
          <w:rFonts w:asciiTheme="minorEastAsia" w:hAnsiTheme="minorEastAsia" w:cs="Times New Roman"/>
          <w:color w:val="000000"/>
          <w:kern w:val="0"/>
          <w:sz w:val="24"/>
          <w:szCs w:val="24"/>
          <w:lang w:eastAsia="zh-TW"/>
        </w:rPr>
        <w:t>澳門舉辦，並</w:t>
      </w:r>
      <w:r w:rsidRPr="009C107B">
        <w:rPr>
          <w:rFonts w:asciiTheme="minorEastAsia" w:hAnsiTheme="minorEastAsia" w:cs="Times New Roman" w:hint="eastAsia"/>
          <w:color w:val="000000"/>
          <w:kern w:val="0"/>
          <w:sz w:val="24"/>
          <w:szCs w:val="24"/>
          <w:lang w:eastAsia="zh-TW"/>
        </w:rPr>
        <w:t>在</w:t>
      </w:r>
      <w:r w:rsidRPr="009C107B">
        <w:rPr>
          <w:rFonts w:asciiTheme="minorEastAsia" w:hAnsiTheme="minorEastAsia" w:cs="Times New Roman"/>
          <w:color w:val="000000"/>
          <w:kern w:val="0"/>
          <w:sz w:val="24"/>
          <w:szCs w:val="24"/>
          <w:lang w:eastAsia="zh-TW"/>
        </w:rPr>
        <w:t>澳門設立了常設秘書處。</w:t>
      </w:r>
      <w:r w:rsidRPr="009C107B">
        <w:rPr>
          <w:rFonts w:asciiTheme="minorEastAsia" w:hAnsiTheme="minorEastAsia" w:cs="Times New Roman" w:hint="eastAsia"/>
          <w:color w:val="000000"/>
          <w:kern w:val="0"/>
          <w:sz w:val="24"/>
          <w:szCs w:val="24"/>
          <w:lang w:eastAsia="zh-TW"/>
        </w:rPr>
        <w:t>按澳門貿易投資促進局的資料</w:t>
      </w:r>
      <w:r w:rsidRPr="009C107B">
        <w:rPr>
          <w:rFonts w:asciiTheme="minorEastAsia" w:hAnsiTheme="minorEastAsia" w:cs="Times New Roman"/>
          <w:color w:val="000000"/>
          <w:kern w:val="0"/>
          <w:sz w:val="24"/>
          <w:szCs w:val="24"/>
          <w:lang w:eastAsia="zh-TW"/>
        </w:rPr>
        <w:t>，2016年中國與葡語國家雙邊貿易總額總達909億美元，是2003年中葡論壇首次舉行時的9倍。</w:t>
      </w:r>
    </w:p>
    <w:p w:rsidR="00E81887" w:rsidRPr="009C107B" w:rsidRDefault="001E7D33" w:rsidP="00BE6B9D">
      <w:pPr>
        <w:snapToGrid w:val="0"/>
        <w:spacing w:beforeLines="50" w:line="360" w:lineRule="auto"/>
        <w:ind w:firstLineChars="200" w:firstLine="480"/>
        <w:rPr>
          <w:rFonts w:asciiTheme="minorEastAsia" w:hAnsiTheme="minorEastAsia" w:cs="Times New Roman"/>
          <w:b/>
          <w:color w:val="000000"/>
          <w:kern w:val="0"/>
          <w:sz w:val="24"/>
          <w:szCs w:val="24"/>
          <w:lang w:eastAsia="zh-TW"/>
        </w:rPr>
      </w:pPr>
      <w:r w:rsidRPr="009C107B">
        <w:rPr>
          <w:rFonts w:asciiTheme="minorEastAsia" w:hAnsiTheme="minorEastAsia" w:cs="Times New Roman"/>
          <w:color w:val="000000"/>
          <w:kern w:val="0"/>
          <w:sz w:val="24"/>
          <w:szCs w:val="24"/>
          <w:lang w:eastAsia="zh-TW"/>
        </w:rPr>
        <w:t>“中葡論壇”第五屆</w:t>
      </w:r>
      <w:r w:rsidRPr="009C107B">
        <w:rPr>
          <w:rFonts w:asciiTheme="minorEastAsia" w:hAnsiTheme="minorEastAsia" w:cs="Times New Roman" w:hint="eastAsia"/>
          <w:color w:val="000000"/>
          <w:kern w:val="0"/>
          <w:sz w:val="24"/>
          <w:szCs w:val="24"/>
          <w:lang w:eastAsia="zh-TW"/>
        </w:rPr>
        <w:t>論壇</w:t>
      </w:r>
      <w:r w:rsidRPr="009C107B">
        <w:rPr>
          <w:rFonts w:asciiTheme="minorEastAsia" w:hAnsiTheme="minorEastAsia" w:cs="Times New Roman"/>
          <w:color w:val="000000"/>
          <w:kern w:val="0"/>
          <w:sz w:val="24"/>
          <w:szCs w:val="24"/>
          <w:lang w:eastAsia="zh-TW"/>
        </w:rPr>
        <w:t>上，國</w:t>
      </w:r>
      <w:r w:rsidRPr="009C107B">
        <w:rPr>
          <w:rFonts w:asciiTheme="minorEastAsia" w:hAnsiTheme="minorEastAsia" w:cs="Times New Roman" w:hint="eastAsia"/>
          <w:color w:val="000000"/>
          <w:kern w:val="0"/>
          <w:sz w:val="24"/>
          <w:szCs w:val="24"/>
          <w:lang w:eastAsia="zh-TW"/>
        </w:rPr>
        <w:t>家代表宣佈</w:t>
      </w:r>
      <w:r w:rsidRPr="009C107B">
        <w:rPr>
          <w:rFonts w:asciiTheme="minorEastAsia" w:hAnsiTheme="minorEastAsia" w:cs="Times New Roman"/>
          <w:color w:val="000000"/>
          <w:kern w:val="0"/>
          <w:sz w:val="24"/>
          <w:szCs w:val="24"/>
          <w:lang w:eastAsia="zh-TW"/>
        </w:rPr>
        <w:t>支持澳門</w:t>
      </w:r>
      <w:r w:rsidRPr="009C107B">
        <w:rPr>
          <w:rFonts w:asciiTheme="minorEastAsia" w:hAnsiTheme="minorEastAsia" w:cs="Times New Roman" w:hint="eastAsia"/>
          <w:color w:val="000000"/>
          <w:kern w:val="0"/>
          <w:sz w:val="24"/>
          <w:szCs w:val="24"/>
          <w:lang w:eastAsia="zh-TW"/>
        </w:rPr>
        <w:t>作為</w:t>
      </w:r>
      <w:r w:rsidRPr="009C107B">
        <w:rPr>
          <w:rFonts w:asciiTheme="minorEastAsia" w:hAnsiTheme="minorEastAsia" w:cs="Times New Roman"/>
          <w:color w:val="000000"/>
          <w:kern w:val="0"/>
          <w:sz w:val="24"/>
          <w:szCs w:val="24"/>
          <w:lang w:eastAsia="zh-TW"/>
        </w:rPr>
        <w:t>中葡平台，</w:t>
      </w:r>
      <w:r w:rsidRPr="009C107B">
        <w:rPr>
          <w:rFonts w:asciiTheme="minorEastAsia" w:hAnsiTheme="minorEastAsia" w:cs="Times New Roman" w:hint="eastAsia"/>
          <w:color w:val="000000"/>
          <w:kern w:val="0"/>
          <w:sz w:val="24"/>
          <w:szCs w:val="24"/>
          <w:lang w:eastAsia="zh-TW"/>
        </w:rPr>
        <w:t>措施</w:t>
      </w:r>
      <w:r w:rsidRPr="009C107B">
        <w:rPr>
          <w:rFonts w:asciiTheme="minorEastAsia" w:hAnsiTheme="minorEastAsia" w:cs="Times New Roman"/>
          <w:color w:val="000000"/>
          <w:kern w:val="0"/>
          <w:sz w:val="24"/>
          <w:szCs w:val="24"/>
          <w:lang w:eastAsia="zh-TW"/>
        </w:rPr>
        <w:t>包括把“中葡合作發展基金”總部移師澳門、支持在澳門成立中國－葡語國家金融服務平台、企業家聯合會、文化交流中心、雙語人才培養基地、青年創新創業中心，以及建設“中國與葡語國家商貿合作服務平台綜合體”。另外，並</w:t>
      </w:r>
      <w:r w:rsidRPr="009C107B">
        <w:rPr>
          <w:rFonts w:asciiTheme="minorEastAsia" w:hAnsiTheme="minorEastAsia" w:cs="Times New Roman" w:hint="eastAsia"/>
          <w:color w:val="000000"/>
          <w:kern w:val="0"/>
          <w:sz w:val="24"/>
          <w:szCs w:val="24"/>
          <w:lang w:eastAsia="zh-TW"/>
        </w:rPr>
        <w:t>將</w:t>
      </w:r>
      <w:r w:rsidRPr="009C107B">
        <w:rPr>
          <w:rFonts w:asciiTheme="minorEastAsia" w:hAnsiTheme="minorEastAsia" w:cs="Times New Roman"/>
          <w:color w:val="000000"/>
          <w:kern w:val="0"/>
          <w:sz w:val="24"/>
          <w:szCs w:val="24"/>
          <w:lang w:eastAsia="zh-TW"/>
        </w:rPr>
        <w:t>設葡語國家企業服務中心、經貿關係及文化展覽館等。</w:t>
      </w:r>
      <w:r w:rsidRPr="009C107B">
        <w:rPr>
          <w:rFonts w:asciiTheme="minorEastAsia" w:hAnsiTheme="minorEastAsia" w:cs="Times New Roman" w:hint="eastAsia"/>
          <w:color w:val="000000"/>
          <w:kern w:val="0"/>
          <w:sz w:val="24"/>
          <w:szCs w:val="24"/>
          <w:lang w:eastAsia="zh-TW"/>
        </w:rPr>
        <w:t>另一方面，因人民幣已於</w:t>
      </w:r>
      <w:r w:rsidRPr="009C107B">
        <w:rPr>
          <w:rFonts w:asciiTheme="minorEastAsia" w:hAnsiTheme="minorEastAsia" w:cs="Times New Roman"/>
          <w:color w:val="000000"/>
          <w:kern w:val="0"/>
          <w:sz w:val="24"/>
          <w:szCs w:val="24"/>
          <w:lang w:eastAsia="zh-TW"/>
        </w:rPr>
        <w:t>2016年正式納入國際貨幣基金組織特別提款權貨幣籃子。近</w:t>
      </w:r>
      <w:r w:rsidRPr="009C107B">
        <w:rPr>
          <w:rFonts w:asciiTheme="minorEastAsia" w:hAnsiTheme="minorEastAsia" w:cs="Times New Roman" w:hint="eastAsia"/>
          <w:color w:val="000000"/>
          <w:kern w:val="0"/>
          <w:sz w:val="24"/>
          <w:szCs w:val="24"/>
          <w:lang w:eastAsia="zh-TW"/>
        </w:rPr>
        <w:t>日</w:t>
      </w:r>
      <w:r w:rsidRPr="009C107B">
        <w:rPr>
          <w:rFonts w:asciiTheme="minorEastAsia" w:hAnsiTheme="minorEastAsia" w:cs="Times New Roman"/>
          <w:color w:val="000000"/>
          <w:kern w:val="0"/>
          <w:sz w:val="24"/>
          <w:szCs w:val="24"/>
          <w:lang w:eastAsia="zh-TW"/>
        </w:rPr>
        <w:t>中國銀行（澳門分行）與八間葡語國家銀行（位於葡萄牙、安哥拉、巴西和莫桑比克）就提供人民幣金融服務，以及以人民幣發行葡萄牙公共債務證券所簽訂的協議（2019年）。</w:t>
      </w:r>
      <w:r w:rsidRPr="009C107B">
        <w:rPr>
          <w:rFonts w:asciiTheme="minorEastAsia" w:hAnsiTheme="minorEastAsia" w:cs="Times New Roman" w:hint="eastAsia"/>
          <w:color w:val="000000"/>
          <w:kern w:val="0"/>
          <w:sz w:val="24"/>
          <w:szCs w:val="24"/>
          <w:lang w:eastAsia="zh-TW"/>
        </w:rPr>
        <w:t>由此</w:t>
      </w:r>
      <w:r w:rsidRPr="009C107B">
        <w:rPr>
          <w:rFonts w:asciiTheme="minorEastAsia" w:hAnsiTheme="minorEastAsia" w:cs="Times New Roman"/>
          <w:color w:val="000000"/>
          <w:kern w:val="0"/>
          <w:sz w:val="24"/>
          <w:szCs w:val="24"/>
          <w:lang w:eastAsia="zh-TW"/>
        </w:rPr>
        <w:t>通過澳門</w:t>
      </w:r>
      <w:r w:rsidRPr="009C107B">
        <w:rPr>
          <w:rFonts w:asciiTheme="minorEastAsia" w:hAnsiTheme="minorEastAsia" w:cs="Times New Roman" w:hint="eastAsia"/>
          <w:color w:val="000000"/>
          <w:kern w:val="0"/>
          <w:sz w:val="24"/>
          <w:szCs w:val="24"/>
          <w:lang w:eastAsia="zh-TW"/>
        </w:rPr>
        <w:t>特區實施</w:t>
      </w:r>
      <w:r w:rsidRPr="009C107B">
        <w:rPr>
          <w:rFonts w:asciiTheme="minorEastAsia" w:hAnsiTheme="minorEastAsia" w:cs="Times New Roman"/>
          <w:color w:val="000000"/>
          <w:kern w:val="0"/>
          <w:sz w:val="24"/>
          <w:szCs w:val="24"/>
          <w:lang w:eastAsia="zh-TW"/>
        </w:rPr>
        <w:t>跨境支付</w:t>
      </w:r>
      <w:r w:rsidRPr="009C107B">
        <w:rPr>
          <w:rFonts w:asciiTheme="minorEastAsia" w:hAnsiTheme="minorEastAsia" w:cs="Times New Roman" w:hint="eastAsia"/>
          <w:color w:val="000000"/>
          <w:kern w:val="0"/>
          <w:sz w:val="24"/>
          <w:szCs w:val="24"/>
          <w:lang w:eastAsia="zh-TW"/>
        </w:rPr>
        <w:t>，有助</w:t>
      </w:r>
      <w:r w:rsidRPr="009C107B">
        <w:rPr>
          <w:rFonts w:asciiTheme="minorEastAsia" w:hAnsiTheme="minorEastAsia" w:cs="Times New Roman"/>
          <w:color w:val="000000"/>
          <w:kern w:val="0"/>
          <w:sz w:val="24"/>
          <w:szCs w:val="24"/>
          <w:lang w:eastAsia="zh-TW"/>
        </w:rPr>
        <w:t>促進人民幣國際化和中國－葡語國家間貿易，</w:t>
      </w:r>
      <w:r w:rsidRPr="009C107B">
        <w:rPr>
          <w:rFonts w:asciiTheme="minorEastAsia" w:hAnsiTheme="minorEastAsia" w:cs="Times New Roman" w:hint="eastAsia"/>
          <w:color w:val="000000"/>
          <w:kern w:val="0"/>
          <w:sz w:val="24"/>
          <w:szCs w:val="24"/>
          <w:lang w:eastAsia="zh-TW"/>
        </w:rPr>
        <w:t>進一步提升</w:t>
      </w:r>
      <w:r w:rsidRPr="009C107B">
        <w:rPr>
          <w:rFonts w:asciiTheme="minorEastAsia" w:hAnsiTheme="minorEastAsia" w:cs="Times New Roman"/>
          <w:color w:val="000000"/>
          <w:kern w:val="0"/>
          <w:sz w:val="24"/>
          <w:szCs w:val="24"/>
          <w:lang w:eastAsia="zh-TW"/>
        </w:rPr>
        <w:t>澳門的平台角色。</w:t>
      </w:r>
    </w:p>
    <w:p w:rsidR="004325E4" w:rsidRPr="009C107B" w:rsidRDefault="001E7D33" w:rsidP="00BE6B9D">
      <w:pPr>
        <w:snapToGrid w:val="0"/>
        <w:spacing w:beforeLines="50" w:line="360" w:lineRule="auto"/>
        <w:ind w:firstLineChars="200" w:firstLine="480"/>
        <w:rPr>
          <w:rFonts w:asciiTheme="minorEastAsia" w:hAnsiTheme="minorEastAsia" w:cs="Times New Roman"/>
          <w:color w:val="000000"/>
          <w:kern w:val="0"/>
          <w:sz w:val="24"/>
          <w:szCs w:val="24"/>
          <w:lang w:eastAsia="zh-TW"/>
        </w:rPr>
      </w:pPr>
      <w:r w:rsidRPr="009C107B">
        <w:rPr>
          <w:rFonts w:asciiTheme="minorEastAsia" w:hAnsiTheme="minorEastAsia" w:cs="Times New Roman" w:hint="eastAsia"/>
          <w:color w:val="000000"/>
          <w:kern w:val="0"/>
          <w:sz w:val="24"/>
          <w:szCs w:val="24"/>
          <w:lang w:eastAsia="zh-TW"/>
        </w:rPr>
        <w:lastRenderedPageBreak/>
        <w:t>在</w:t>
      </w:r>
      <w:r w:rsidRPr="009C107B">
        <w:rPr>
          <w:rFonts w:asciiTheme="minorEastAsia" w:hAnsiTheme="minorEastAsia" w:cs="Times New Roman" w:hint="eastAsia"/>
          <w:bCs/>
          <w:sz w:val="24"/>
          <w:szCs w:val="24"/>
          <w:lang w:eastAsia="zh-TW"/>
        </w:rPr>
        <w:t>「一國兩制」下之澳門特區</w:t>
      </w:r>
      <w:r w:rsidRPr="009C107B">
        <w:rPr>
          <w:rFonts w:asciiTheme="minorEastAsia" w:hAnsiTheme="minorEastAsia" w:cs="Times New Roman" w:hint="eastAsia"/>
          <w:color w:val="000000"/>
          <w:kern w:val="0"/>
          <w:sz w:val="24"/>
          <w:szCs w:val="24"/>
          <w:lang w:eastAsia="zh-TW"/>
        </w:rPr>
        <w:t>，兼具自由港和單獨關稅區優勢</w:t>
      </w:r>
      <w:r w:rsidRPr="009C107B">
        <w:rPr>
          <w:rFonts w:asciiTheme="minorEastAsia" w:hAnsiTheme="minorEastAsia" w:cs="Times New Roman"/>
          <w:color w:val="000000"/>
          <w:kern w:val="0"/>
          <w:sz w:val="24"/>
          <w:szCs w:val="24"/>
          <w:lang w:eastAsia="zh-TW"/>
        </w:rPr>
        <w:t>。</w:t>
      </w:r>
      <w:r w:rsidRPr="009C107B">
        <w:rPr>
          <w:rFonts w:asciiTheme="minorEastAsia" w:hAnsiTheme="minorEastAsia" w:cs="Times New Roman" w:hint="eastAsia"/>
          <w:color w:val="000000"/>
          <w:kern w:val="0"/>
          <w:sz w:val="24"/>
          <w:szCs w:val="24"/>
          <w:lang w:eastAsia="zh-TW"/>
        </w:rPr>
        <w:t>此外</w:t>
      </w:r>
      <w:r w:rsidRPr="009C107B">
        <w:rPr>
          <w:rFonts w:asciiTheme="minorEastAsia" w:hAnsiTheme="minorEastAsia" w:cs="Times New Roman"/>
          <w:color w:val="000000"/>
          <w:kern w:val="0"/>
          <w:sz w:val="24"/>
          <w:szCs w:val="24"/>
          <w:lang w:eastAsia="zh-TW"/>
        </w:rPr>
        <w:t>，澳門</w:t>
      </w:r>
      <w:r w:rsidRPr="009C107B">
        <w:rPr>
          <w:rFonts w:asciiTheme="minorEastAsia" w:hAnsiTheme="minorEastAsia" w:cs="Times New Roman" w:hint="eastAsia"/>
          <w:color w:val="000000"/>
          <w:kern w:val="0"/>
          <w:sz w:val="24"/>
          <w:szCs w:val="24"/>
          <w:lang w:eastAsia="zh-TW"/>
        </w:rPr>
        <w:t>特區</w:t>
      </w:r>
      <w:r w:rsidRPr="009C107B">
        <w:rPr>
          <w:rFonts w:asciiTheme="minorEastAsia" w:hAnsiTheme="minorEastAsia" w:cs="Times New Roman"/>
          <w:color w:val="000000"/>
          <w:kern w:val="0"/>
          <w:sz w:val="24"/>
          <w:szCs w:val="24"/>
          <w:lang w:eastAsia="zh-TW"/>
        </w:rPr>
        <w:t>法律體系源自葡萄牙，與其他葡語國家的法律制度</w:t>
      </w:r>
      <w:r w:rsidRPr="009C107B">
        <w:rPr>
          <w:rFonts w:asciiTheme="minorEastAsia" w:hAnsiTheme="minorEastAsia" w:cs="Times New Roman" w:hint="eastAsia"/>
          <w:color w:val="000000"/>
          <w:kern w:val="0"/>
          <w:sz w:val="24"/>
          <w:szCs w:val="24"/>
          <w:lang w:eastAsia="zh-TW"/>
        </w:rPr>
        <w:t>接</w:t>
      </w:r>
      <w:r w:rsidRPr="009C107B">
        <w:rPr>
          <w:rFonts w:asciiTheme="minorEastAsia" w:hAnsiTheme="minorEastAsia" w:cs="Times New Roman"/>
          <w:color w:val="000000"/>
          <w:kern w:val="0"/>
          <w:sz w:val="24"/>
          <w:szCs w:val="24"/>
          <w:lang w:eastAsia="zh-TW"/>
        </w:rPr>
        <w:t>近，有</w:t>
      </w:r>
      <w:r w:rsidRPr="009C107B">
        <w:rPr>
          <w:rFonts w:asciiTheme="minorEastAsia" w:hAnsiTheme="minorEastAsia" w:cs="Times New Roman" w:hint="eastAsia"/>
          <w:color w:val="000000"/>
          <w:kern w:val="0"/>
          <w:sz w:val="24"/>
          <w:szCs w:val="24"/>
          <w:lang w:eastAsia="zh-TW"/>
        </w:rPr>
        <w:t>利</w:t>
      </w:r>
      <w:r w:rsidRPr="009C107B">
        <w:rPr>
          <w:rFonts w:asciiTheme="minorEastAsia" w:hAnsiTheme="minorEastAsia" w:cs="Times New Roman"/>
          <w:color w:val="000000"/>
          <w:kern w:val="0"/>
          <w:sz w:val="24"/>
          <w:szCs w:val="24"/>
          <w:lang w:eastAsia="zh-TW"/>
        </w:rPr>
        <w:t>於</w:t>
      </w:r>
      <w:r w:rsidRPr="009C107B">
        <w:rPr>
          <w:rFonts w:asciiTheme="minorEastAsia" w:hAnsiTheme="minorEastAsia" w:cs="Times New Roman" w:hint="eastAsia"/>
          <w:color w:val="000000"/>
          <w:kern w:val="0"/>
          <w:sz w:val="24"/>
          <w:szCs w:val="24"/>
          <w:lang w:eastAsia="zh-TW"/>
        </w:rPr>
        <w:t>各葡語國家法律的研討</w:t>
      </w:r>
      <w:r w:rsidRPr="009C107B">
        <w:rPr>
          <w:rFonts w:asciiTheme="minorEastAsia" w:hAnsiTheme="minorEastAsia" w:cs="Times New Roman"/>
          <w:color w:val="000000"/>
          <w:kern w:val="0"/>
          <w:sz w:val="24"/>
          <w:szCs w:val="24"/>
          <w:lang w:eastAsia="zh-TW"/>
        </w:rPr>
        <w:t>。</w:t>
      </w:r>
      <w:r w:rsidRPr="009C107B">
        <w:rPr>
          <w:rFonts w:asciiTheme="minorEastAsia" w:hAnsiTheme="minorEastAsia" w:cs="Times New Roman" w:hint="eastAsia"/>
          <w:color w:val="000000"/>
          <w:kern w:val="0"/>
          <w:sz w:val="24"/>
          <w:szCs w:val="24"/>
          <w:lang w:eastAsia="zh-TW"/>
        </w:rPr>
        <w:t>澳門特區採用</w:t>
      </w:r>
      <w:r w:rsidRPr="009C107B">
        <w:rPr>
          <w:rFonts w:asciiTheme="minorEastAsia" w:hAnsiTheme="minorEastAsia" w:cs="Times New Roman"/>
          <w:color w:val="000000"/>
          <w:kern w:val="0"/>
          <w:sz w:val="24"/>
          <w:szCs w:val="24"/>
          <w:lang w:eastAsia="zh-TW"/>
        </w:rPr>
        <w:t>中文和葡文</w:t>
      </w:r>
      <w:r w:rsidRPr="009C107B">
        <w:rPr>
          <w:rFonts w:asciiTheme="minorEastAsia" w:hAnsiTheme="minorEastAsia" w:cs="Times New Roman" w:hint="eastAsia"/>
          <w:color w:val="000000"/>
          <w:kern w:val="0"/>
          <w:sz w:val="24"/>
          <w:szCs w:val="24"/>
          <w:lang w:eastAsia="zh-TW"/>
        </w:rPr>
        <w:t>為</w:t>
      </w:r>
      <w:r w:rsidRPr="009C107B">
        <w:rPr>
          <w:rFonts w:asciiTheme="minorEastAsia" w:hAnsiTheme="minorEastAsia" w:cs="Times New Roman"/>
          <w:color w:val="000000"/>
          <w:kern w:val="0"/>
          <w:sz w:val="24"/>
          <w:szCs w:val="24"/>
          <w:lang w:eastAsia="zh-TW"/>
        </w:rPr>
        <w:t>正式</w:t>
      </w:r>
      <w:r w:rsidRPr="009C107B">
        <w:rPr>
          <w:rFonts w:asciiTheme="minorEastAsia" w:hAnsiTheme="minorEastAsia" w:cs="Times New Roman" w:hint="eastAsia"/>
          <w:color w:val="000000"/>
          <w:kern w:val="0"/>
          <w:sz w:val="24"/>
          <w:szCs w:val="24"/>
          <w:lang w:eastAsia="zh-TW"/>
        </w:rPr>
        <w:t>的官方</w:t>
      </w:r>
      <w:r w:rsidRPr="009C107B">
        <w:rPr>
          <w:rFonts w:asciiTheme="minorEastAsia" w:hAnsiTheme="minorEastAsia" w:cs="Times New Roman"/>
          <w:color w:val="000000"/>
          <w:kern w:val="0"/>
          <w:sz w:val="24"/>
          <w:szCs w:val="24"/>
          <w:lang w:eastAsia="zh-TW"/>
        </w:rPr>
        <w:t>語</w:t>
      </w:r>
      <w:r w:rsidRPr="009C107B">
        <w:rPr>
          <w:rFonts w:asciiTheme="minorEastAsia" w:hAnsiTheme="minorEastAsia" w:cs="Times New Roman" w:hint="eastAsia"/>
          <w:color w:val="000000"/>
          <w:kern w:val="0"/>
          <w:sz w:val="24"/>
          <w:szCs w:val="24"/>
          <w:lang w:eastAsia="zh-HK"/>
        </w:rPr>
        <w:t>言</w:t>
      </w:r>
      <w:r w:rsidRPr="009C107B">
        <w:rPr>
          <w:rFonts w:asciiTheme="minorEastAsia" w:hAnsiTheme="minorEastAsia" w:cs="Times New Roman"/>
          <w:color w:val="000000"/>
          <w:kern w:val="0"/>
          <w:sz w:val="24"/>
          <w:szCs w:val="24"/>
          <w:lang w:eastAsia="zh-TW"/>
        </w:rPr>
        <w:t>，</w:t>
      </w:r>
      <w:r w:rsidRPr="009C107B">
        <w:rPr>
          <w:rFonts w:asciiTheme="minorEastAsia" w:hAnsiTheme="minorEastAsia" w:cs="Times New Roman" w:hint="eastAsia"/>
          <w:color w:val="000000"/>
          <w:kern w:val="0"/>
          <w:sz w:val="24"/>
          <w:szCs w:val="24"/>
          <w:lang w:eastAsia="zh-TW"/>
        </w:rPr>
        <w:t>官方商業</w:t>
      </w:r>
      <w:r w:rsidRPr="009C107B">
        <w:rPr>
          <w:rFonts w:asciiTheme="minorEastAsia" w:hAnsiTheme="minorEastAsia" w:cs="Times New Roman"/>
          <w:color w:val="000000"/>
          <w:kern w:val="0"/>
          <w:sz w:val="24"/>
          <w:szCs w:val="24"/>
          <w:lang w:eastAsia="zh-TW"/>
        </w:rPr>
        <w:t>合約</w:t>
      </w:r>
      <w:r w:rsidRPr="009C107B">
        <w:rPr>
          <w:rFonts w:asciiTheme="minorEastAsia" w:hAnsiTheme="minorEastAsia" w:cs="Times New Roman" w:hint="eastAsia"/>
          <w:color w:val="000000"/>
          <w:kern w:val="0"/>
          <w:sz w:val="24"/>
          <w:szCs w:val="24"/>
          <w:lang w:eastAsia="zh-TW"/>
        </w:rPr>
        <w:t>簽訂</w:t>
      </w:r>
      <w:r w:rsidRPr="009C107B">
        <w:rPr>
          <w:rFonts w:asciiTheme="minorEastAsia" w:hAnsiTheme="minorEastAsia" w:cs="Times New Roman"/>
          <w:color w:val="000000"/>
          <w:kern w:val="0"/>
          <w:sz w:val="24"/>
          <w:szCs w:val="24"/>
          <w:lang w:eastAsia="zh-TW"/>
        </w:rPr>
        <w:t>時</w:t>
      </w:r>
      <w:r w:rsidRPr="009C107B">
        <w:rPr>
          <w:rFonts w:asciiTheme="minorEastAsia" w:hAnsiTheme="minorEastAsia" w:cs="Times New Roman" w:hint="eastAsia"/>
          <w:color w:val="000000"/>
          <w:kern w:val="0"/>
          <w:sz w:val="24"/>
          <w:szCs w:val="24"/>
          <w:lang w:eastAsia="zh-TW"/>
        </w:rPr>
        <w:t>往往會</w:t>
      </w:r>
      <w:r w:rsidRPr="009C107B">
        <w:rPr>
          <w:rFonts w:asciiTheme="minorEastAsia" w:hAnsiTheme="minorEastAsia" w:cs="Times New Roman"/>
          <w:color w:val="000000"/>
          <w:kern w:val="0"/>
          <w:sz w:val="24"/>
          <w:szCs w:val="24"/>
          <w:lang w:eastAsia="zh-TW"/>
        </w:rPr>
        <w:t>以中文及葡文簽訂</w:t>
      </w:r>
      <w:r w:rsidRPr="009C107B">
        <w:rPr>
          <w:rFonts w:asciiTheme="minorEastAsia" w:hAnsiTheme="minorEastAsia" w:cs="Times New Roman" w:hint="eastAsia"/>
          <w:color w:val="000000"/>
          <w:kern w:val="0"/>
          <w:sz w:val="24"/>
          <w:szCs w:val="24"/>
          <w:lang w:eastAsia="zh-TW"/>
        </w:rPr>
        <w:t>，這有利於</w:t>
      </w:r>
      <w:r w:rsidRPr="009C107B">
        <w:rPr>
          <w:rFonts w:asciiTheme="minorEastAsia" w:hAnsiTheme="minorEastAsia" w:cs="Times New Roman"/>
          <w:color w:val="000000"/>
          <w:kern w:val="0"/>
          <w:sz w:val="24"/>
          <w:szCs w:val="24"/>
          <w:lang w:eastAsia="zh-TW"/>
        </w:rPr>
        <w:t>中葡雙語人才</w:t>
      </w:r>
      <w:r w:rsidRPr="009C107B">
        <w:rPr>
          <w:rFonts w:asciiTheme="minorEastAsia" w:hAnsiTheme="minorEastAsia" w:cs="Times New Roman" w:hint="eastAsia"/>
          <w:color w:val="000000"/>
          <w:kern w:val="0"/>
          <w:sz w:val="24"/>
          <w:szCs w:val="24"/>
          <w:lang w:eastAsia="zh-TW"/>
        </w:rPr>
        <w:t>的培育和發展</w:t>
      </w:r>
      <w:r w:rsidRPr="009C107B">
        <w:rPr>
          <w:rFonts w:asciiTheme="minorEastAsia" w:hAnsiTheme="minorEastAsia" w:cs="Times New Roman"/>
          <w:color w:val="000000"/>
          <w:kern w:val="0"/>
          <w:sz w:val="24"/>
          <w:szCs w:val="24"/>
          <w:lang w:eastAsia="zh-TW"/>
        </w:rPr>
        <w:t>。</w:t>
      </w:r>
      <w:r w:rsidRPr="009C107B">
        <w:rPr>
          <w:rFonts w:asciiTheme="minorEastAsia" w:hAnsiTheme="minorEastAsia" w:cs="Times New Roman" w:hint="eastAsia"/>
          <w:color w:val="000000"/>
          <w:kern w:val="0"/>
          <w:sz w:val="24"/>
          <w:szCs w:val="24"/>
          <w:lang w:eastAsia="zh-TW"/>
        </w:rPr>
        <w:t>澳門特區在世界上起到舉足輕重的中葡雙語交流之作用，經過多年中葡雙語沉澱，澳門特區其獨特地位是不可或缺的。</w:t>
      </w:r>
    </w:p>
    <w:p w:rsidR="00E81887" w:rsidRPr="009C107B" w:rsidRDefault="001E7D33" w:rsidP="00BE6B9D">
      <w:pPr>
        <w:pStyle w:val="ListParagraph"/>
        <w:numPr>
          <w:ilvl w:val="0"/>
          <w:numId w:val="3"/>
        </w:numPr>
        <w:snapToGrid w:val="0"/>
        <w:spacing w:beforeLines="50" w:line="360" w:lineRule="auto"/>
        <w:ind w:firstLineChars="0"/>
        <w:rPr>
          <w:rFonts w:asciiTheme="minorEastAsia" w:hAnsiTheme="minorEastAsia" w:cs="Times New Roman"/>
          <w:b/>
          <w:sz w:val="28"/>
          <w:szCs w:val="28"/>
          <w:lang w:eastAsia="zh-TW"/>
        </w:rPr>
      </w:pPr>
      <w:r w:rsidRPr="009C107B">
        <w:rPr>
          <w:rFonts w:asciiTheme="minorEastAsia" w:hAnsiTheme="minorEastAsia" w:cs="Times New Roman"/>
          <w:b/>
          <w:sz w:val="28"/>
          <w:szCs w:val="28"/>
          <w:lang w:eastAsia="zh-TW"/>
        </w:rPr>
        <w:t>結論</w:t>
      </w:r>
    </w:p>
    <w:p w:rsidR="009516EE" w:rsidRDefault="001E7D33" w:rsidP="00BE6B9D">
      <w:pPr>
        <w:adjustRightInd w:val="0"/>
        <w:snapToGrid w:val="0"/>
        <w:spacing w:beforeLines="50" w:line="360" w:lineRule="auto"/>
        <w:outlineLvl w:val="0"/>
        <w:rPr>
          <w:rFonts w:asciiTheme="minorEastAsia" w:hAnsiTheme="minorEastAsia" w:cs="Times New Roman"/>
          <w:bCs/>
          <w:sz w:val="24"/>
          <w:szCs w:val="24"/>
          <w:lang w:eastAsia="zh-TW"/>
        </w:rPr>
      </w:pPr>
      <w:r w:rsidRPr="009C107B">
        <w:rPr>
          <w:rFonts w:asciiTheme="minorEastAsia" w:hAnsiTheme="minorEastAsia" w:cs="Times New Roman" w:hint="eastAsia"/>
          <w:b/>
          <w:bCs/>
          <w:sz w:val="24"/>
          <w:szCs w:val="24"/>
          <w:lang w:eastAsia="zh-TW"/>
        </w:rPr>
        <w:t xml:space="preserve">    </w:t>
      </w:r>
      <w:r w:rsidR="002B7E2E" w:rsidRPr="009C107B">
        <w:rPr>
          <w:rFonts w:asciiTheme="minorEastAsia" w:hAnsiTheme="minorEastAsia" w:cs="Times New Roman" w:hint="eastAsia"/>
          <w:bCs/>
          <w:sz w:val="24"/>
          <w:szCs w:val="24"/>
          <w:lang w:eastAsia="zh-TW"/>
        </w:rPr>
        <w:t>綜合上述，葡語作為實現國家主席習近平先生提出的合作共贏的人類命運共同體的重要性、中華人民共和國《憲法》和澳門《基本法》所生的「一國兩制」下的作為澳門特區的正式語文的葡語、作為國家基本國策的“一帶一路”的中葡雙語人才的不可或缺性、澳門特區培養中葡雙語人才的必要性、澳門特區高等院校培訓中葡雙語人才、澳門特區參加葡語論壇和與葡語國家的經貿合作已使澳門特區成為中葡雙語人才的需求量和重要性產生絕對肯定性作用，也為中葡雙語人才帶來新機遇，其作為中國和葡語國家的溝通橋樑是顯而易見的。</w:t>
      </w:r>
    </w:p>
    <w:p w:rsidR="009516EE" w:rsidRPr="003A48AC" w:rsidRDefault="009516EE" w:rsidP="00BE6B9D">
      <w:pPr>
        <w:adjustRightInd w:val="0"/>
        <w:snapToGrid w:val="0"/>
        <w:spacing w:beforeLines="50" w:line="360" w:lineRule="auto"/>
        <w:outlineLvl w:val="0"/>
        <w:rPr>
          <w:rFonts w:asciiTheme="minorEastAsia" w:hAnsiTheme="minorEastAsia" w:cs="Times New Roman"/>
          <w:bCs/>
          <w:sz w:val="24"/>
          <w:szCs w:val="24"/>
          <w:lang w:eastAsia="zh-TW"/>
        </w:rPr>
      </w:pPr>
    </w:p>
    <w:p w:rsidR="00E81887" w:rsidRPr="009516EE" w:rsidRDefault="001E7D33" w:rsidP="00BE6B9D">
      <w:pPr>
        <w:adjustRightInd w:val="0"/>
        <w:snapToGrid w:val="0"/>
        <w:spacing w:beforeLines="50" w:line="360" w:lineRule="auto"/>
        <w:outlineLvl w:val="0"/>
        <w:rPr>
          <w:rFonts w:asciiTheme="minorEastAsia" w:hAnsiTheme="minorEastAsia" w:cs="Times New Roman"/>
          <w:b/>
          <w:bCs/>
          <w:sz w:val="28"/>
          <w:szCs w:val="28"/>
        </w:rPr>
      </w:pPr>
      <w:r w:rsidRPr="009516EE">
        <w:rPr>
          <w:rFonts w:asciiTheme="minorEastAsia" w:hAnsiTheme="minorEastAsia" w:cs="Times New Roman"/>
          <w:b/>
          <w:bCs/>
          <w:sz w:val="28"/>
          <w:szCs w:val="28"/>
          <w:lang w:eastAsia="zh-TW"/>
        </w:rPr>
        <w:t>參考文獻</w:t>
      </w:r>
      <w:r w:rsidR="009516EE">
        <w:rPr>
          <w:rFonts w:asciiTheme="minorEastAsia" w:hAnsiTheme="minorEastAsia" w:cs="Times New Roman" w:hint="eastAsia"/>
          <w:b/>
          <w:bCs/>
          <w:sz w:val="28"/>
          <w:szCs w:val="28"/>
          <w:lang w:eastAsia="zh-TW"/>
        </w:rPr>
        <w:t>：</w:t>
      </w:r>
    </w:p>
    <w:p w:rsidR="009945D8" w:rsidRPr="009516EE" w:rsidRDefault="009945D8" w:rsidP="00A242C0">
      <w:pPr>
        <w:pStyle w:val="FootnoteText"/>
        <w:numPr>
          <w:ilvl w:val="0"/>
          <w:numId w:val="2"/>
        </w:numPr>
        <w:spacing w:line="360" w:lineRule="auto"/>
        <w:contextualSpacing/>
        <w:rPr>
          <w:rFonts w:asciiTheme="minorEastAsia" w:hAnsiTheme="minorEastAsia"/>
          <w:sz w:val="22"/>
          <w:szCs w:val="22"/>
          <w:lang w:eastAsia="zh-TW"/>
        </w:rPr>
      </w:pPr>
      <w:bookmarkStart w:id="2" w:name="Blanka2015"/>
      <w:bookmarkStart w:id="3" w:name="bednarikova2013"/>
      <w:r w:rsidRPr="009516EE">
        <w:rPr>
          <w:rFonts w:asciiTheme="minorEastAsia" w:hAnsiTheme="minorEastAsia" w:hint="eastAsia"/>
          <w:sz w:val="22"/>
          <w:szCs w:val="22"/>
          <w:lang w:eastAsia="zh-TW"/>
        </w:rPr>
        <w:t>習近平</w:t>
      </w:r>
      <w:r w:rsidRPr="009516EE">
        <w:rPr>
          <w:rFonts w:asciiTheme="minorEastAsia" w:hAnsiTheme="minorEastAsia" w:hint="eastAsia"/>
          <w:sz w:val="22"/>
          <w:szCs w:val="22"/>
          <w:lang w:eastAsia="zh-HK"/>
        </w:rPr>
        <w:t>，</w:t>
      </w:r>
      <w:r w:rsidRPr="009516EE">
        <w:rPr>
          <w:rFonts w:asciiTheme="minorEastAsia" w:hAnsiTheme="minorEastAsia" w:hint="eastAsia"/>
          <w:sz w:val="22"/>
          <w:szCs w:val="22"/>
          <w:lang w:eastAsia="zh-TW"/>
        </w:rPr>
        <w:t>《習近平談治國理政》第二卷，外文出版社，</w:t>
      </w:r>
      <w:r w:rsidRPr="009516EE">
        <w:rPr>
          <w:rFonts w:asciiTheme="minorEastAsia" w:hAnsiTheme="minorEastAsia" w:cs="Times New Roman"/>
          <w:sz w:val="22"/>
          <w:szCs w:val="22"/>
          <w:lang w:eastAsia="zh-TW"/>
        </w:rPr>
        <w:t>2019</w:t>
      </w:r>
      <w:r w:rsidRPr="009516EE">
        <w:rPr>
          <w:rFonts w:asciiTheme="minorEastAsia" w:hAnsiTheme="minorEastAsia" w:hint="eastAsia"/>
          <w:sz w:val="22"/>
          <w:szCs w:val="22"/>
          <w:lang w:eastAsia="zh-TW"/>
        </w:rPr>
        <w:t>年</w:t>
      </w:r>
      <w:r w:rsidRPr="009516EE">
        <w:rPr>
          <w:rFonts w:asciiTheme="minorEastAsia" w:hAnsiTheme="minorEastAsia" w:cs="Times New Roman"/>
          <w:sz w:val="22"/>
          <w:szCs w:val="22"/>
          <w:lang w:eastAsia="zh-TW"/>
        </w:rPr>
        <w:t>11</w:t>
      </w:r>
      <w:r w:rsidRPr="009516EE">
        <w:rPr>
          <w:rFonts w:asciiTheme="minorEastAsia" w:hAnsiTheme="minorEastAsia" w:hint="eastAsia"/>
          <w:sz w:val="22"/>
          <w:szCs w:val="22"/>
          <w:lang w:eastAsia="zh-TW"/>
        </w:rPr>
        <w:t>月。</w:t>
      </w:r>
    </w:p>
    <w:p w:rsidR="009945D8" w:rsidRPr="009516EE" w:rsidRDefault="009945D8" w:rsidP="00A242C0">
      <w:pPr>
        <w:pStyle w:val="FootnoteText"/>
        <w:numPr>
          <w:ilvl w:val="0"/>
          <w:numId w:val="2"/>
        </w:numPr>
        <w:spacing w:line="360" w:lineRule="auto"/>
        <w:contextualSpacing/>
        <w:rPr>
          <w:rFonts w:asciiTheme="minorEastAsia" w:hAnsiTheme="minorEastAsia"/>
          <w:sz w:val="22"/>
          <w:szCs w:val="22"/>
          <w:lang w:eastAsia="zh-TW"/>
        </w:rPr>
      </w:pPr>
      <w:r w:rsidRPr="009516EE">
        <w:rPr>
          <w:rFonts w:asciiTheme="minorEastAsia" w:hAnsiTheme="minorEastAsia" w:hint="eastAsia"/>
          <w:sz w:val="22"/>
          <w:szCs w:val="22"/>
          <w:lang w:eastAsia="zh-TW"/>
        </w:rPr>
        <w:t>楊允中</w:t>
      </w:r>
      <w:r w:rsidRPr="009516EE">
        <w:rPr>
          <w:rFonts w:asciiTheme="minorEastAsia" w:hAnsiTheme="minorEastAsia" w:hint="eastAsia"/>
          <w:sz w:val="22"/>
          <w:szCs w:val="22"/>
          <w:lang w:eastAsia="zh-HK"/>
        </w:rPr>
        <w:t>，</w:t>
      </w:r>
      <w:r w:rsidRPr="009516EE">
        <w:rPr>
          <w:rFonts w:asciiTheme="minorEastAsia" w:hAnsiTheme="minorEastAsia" w:hint="eastAsia"/>
          <w:sz w:val="22"/>
          <w:szCs w:val="22"/>
          <w:lang w:eastAsia="zh-TW"/>
        </w:rPr>
        <w:t>《澳門基本法釋要》，澳門特別行政區法務局出版，</w:t>
      </w:r>
      <w:r w:rsidRPr="009516EE">
        <w:rPr>
          <w:rFonts w:asciiTheme="minorEastAsia" w:hAnsiTheme="minorEastAsia" w:cs="Times New Roman"/>
          <w:sz w:val="22"/>
          <w:szCs w:val="22"/>
          <w:lang w:eastAsia="zh-TW"/>
        </w:rPr>
        <w:t>2004年</w:t>
      </w:r>
      <w:r w:rsidRPr="009516EE">
        <w:rPr>
          <w:rFonts w:asciiTheme="minorEastAsia" w:hAnsiTheme="minorEastAsia" w:hint="eastAsia"/>
          <w:sz w:val="22"/>
          <w:szCs w:val="22"/>
          <w:lang w:eastAsia="zh-TW"/>
        </w:rPr>
        <w:t>。</w:t>
      </w:r>
    </w:p>
    <w:p w:rsidR="009945D8" w:rsidRPr="009516EE" w:rsidRDefault="009945D8" w:rsidP="00BE5FAE">
      <w:pPr>
        <w:pStyle w:val="FootnoteText"/>
        <w:numPr>
          <w:ilvl w:val="0"/>
          <w:numId w:val="2"/>
        </w:numPr>
        <w:spacing w:line="360" w:lineRule="auto"/>
        <w:ind w:left="450" w:hanging="450"/>
        <w:contextualSpacing/>
        <w:rPr>
          <w:rFonts w:asciiTheme="minorEastAsia" w:hAnsiTheme="minorEastAsia"/>
          <w:sz w:val="22"/>
          <w:szCs w:val="22"/>
          <w:lang w:eastAsia="zh-TW"/>
        </w:rPr>
      </w:pPr>
      <w:r w:rsidRPr="009516EE">
        <w:rPr>
          <w:rFonts w:asciiTheme="minorEastAsia" w:hAnsiTheme="minorEastAsia" w:hint="eastAsia"/>
          <w:sz w:val="22"/>
          <w:szCs w:val="22"/>
          <w:lang w:eastAsia="zh-HK"/>
        </w:rPr>
        <w:t xml:space="preserve">沈騎，語言政策與規劃大家談 </w:t>
      </w:r>
      <w:r w:rsidRPr="009516EE">
        <w:rPr>
          <w:rFonts w:asciiTheme="minorEastAsia" w:hAnsiTheme="minorEastAsia" w:cs="Times New Roman" w:hint="eastAsia"/>
          <w:bCs/>
          <w:sz w:val="22"/>
          <w:szCs w:val="22"/>
          <w:lang w:eastAsia="zh-TW"/>
        </w:rPr>
        <w:t>─</w:t>
      </w:r>
      <w:r w:rsidRPr="009516EE">
        <w:rPr>
          <w:rFonts w:asciiTheme="minorEastAsia" w:hAnsiTheme="minorEastAsia" w:cs="Times New Roman"/>
          <w:bCs/>
          <w:sz w:val="22"/>
          <w:szCs w:val="22"/>
          <w:lang w:eastAsia="zh-TW"/>
        </w:rPr>
        <w:t>“</w:t>
      </w:r>
      <w:r w:rsidRPr="009516EE">
        <w:rPr>
          <w:rFonts w:asciiTheme="minorEastAsia" w:hAnsiTheme="minorEastAsia" w:cs="Times New Roman" w:hint="eastAsia"/>
          <w:bCs/>
          <w:sz w:val="22"/>
          <w:szCs w:val="22"/>
          <w:lang w:eastAsia="zh-HK"/>
        </w:rPr>
        <w:t>一帶一路</w:t>
      </w:r>
      <w:r w:rsidRPr="009516EE">
        <w:rPr>
          <w:rFonts w:asciiTheme="minorEastAsia" w:hAnsiTheme="minorEastAsia" w:cs="Times New Roman"/>
          <w:bCs/>
          <w:sz w:val="22"/>
          <w:szCs w:val="22"/>
          <w:lang w:eastAsia="zh-HK"/>
        </w:rPr>
        <w:t>”</w:t>
      </w:r>
      <w:r w:rsidRPr="009516EE">
        <w:rPr>
          <w:rFonts w:asciiTheme="minorEastAsia" w:hAnsiTheme="minorEastAsia" w:cs="Times New Roman" w:hint="eastAsia"/>
          <w:bCs/>
          <w:sz w:val="22"/>
          <w:szCs w:val="22"/>
          <w:lang w:eastAsia="zh-HK"/>
        </w:rPr>
        <w:t>外言教育規劃，當代外言研究，2019年第1期，2019年1月。</w:t>
      </w:r>
    </w:p>
    <w:p w:rsidR="009945D8" w:rsidRPr="009516EE" w:rsidRDefault="009945D8" w:rsidP="00BE5FAE">
      <w:pPr>
        <w:pStyle w:val="FootnoteText"/>
        <w:numPr>
          <w:ilvl w:val="0"/>
          <w:numId w:val="2"/>
        </w:numPr>
        <w:spacing w:line="360" w:lineRule="auto"/>
        <w:ind w:left="450" w:hanging="450"/>
        <w:contextualSpacing/>
        <w:rPr>
          <w:rFonts w:asciiTheme="minorEastAsia" w:hAnsiTheme="minorEastAsia"/>
          <w:sz w:val="22"/>
          <w:szCs w:val="22"/>
          <w:lang w:eastAsia="zh-TW"/>
        </w:rPr>
      </w:pPr>
      <w:r w:rsidRPr="009516EE">
        <w:rPr>
          <w:rFonts w:asciiTheme="minorEastAsia" w:hAnsiTheme="minorEastAsia" w:hint="eastAsia"/>
          <w:sz w:val="22"/>
          <w:szCs w:val="22"/>
          <w:lang w:eastAsia="zh-HK"/>
        </w:rPr>
        <w:t>王烈琴、李卓陽，論高校在</w:t>
      </w:r>
      <w:r w:rsidRPr="009516EE">
        <w:rPr>
          <w:rFonts w:asciiTheme="minorEastAsia" w:hAnsiTheme="minorEastAsia" w:cs="Times New Roman"/>
          <w:bCs/>
          <w:sz w:val="22"/>
          <w:szCs w:val="22"/>
          <w:lang w:eastAsia="zh-TW"/>
        </w:rPr>
        <w:t>“</w:t>
      </w:r>
      <w:r w:rsidRPr="009516EE">
        <w:rPr>
          <w:rFonts w:asciiTheme="minorEastAsia" w:hAnsiTheme="minorEastAsia" w:cs="Times New Roman" w:hint="eastAsia"/>
          <w:bCs/>
          <w:sz w:val="22"/>
          <w:szCs w:val="22"/>
          <w:lang w:eastAsia="zh-HK"/>
        </w:rPr>
        <w:t>一帶一路</w:t>
      </w:r>
      <w:r w:rsidRPr="009516EE">
        <w:rPr>
          <w:rFonts w:asciiTheme="minorEastAsia" w:hAnsiTheme="minorEastAsia" w:cs="Times New Roman"/>
          <w:bCs/>
          <w:sz w:val="22"/>
          <w:szCs w:val="22"/>
          <w:lang w:eastAsia="zh-HK"/>
        </w:rPr>
        <w:t>”</w:t>
      </w:r>
      <w:r w:rsidRPr="009516EE">
        <w:rPr>
          <w:rFonts w:asciiTheme="minorEastAsia" w:hAnsiTheme="minorEastAsia" w:cs="Times New Roman" w:hint="eastAsia"/>
          <w:bCs/>
          <w:sz w:val="22"/>
          <w:szCs w:val="22"/>
          <w:lang w:eastAsia="zh-HK"/>
        </w:rPr>
        <w:t>外語人才培養中的作用，寶鳮文理學院學報(社會科學版)，2019年第3期，2019年6月。</w:t>
      </w:r>
    </w:p>
    <w:p w:rsidR="009945D8" w:rsidRDefault="009945D8" w:rsidP="00A242C0">
      <w:pPr>
        <w:pStyle w:val="ListParagraph"/>
        <w:numPr>
          <w:ilvl w:val="0"/>
          <w:numId w:val="2"/>
        </w:numPr>
        <w:spacing w:line="360" w:lineRule="auto"/>
        <w:ind w:left="270" w:firstLineChars="0" w:hanging="270"/>
        <w:contextualSpacing/>
        <w:jc w:val="left"/>
        <w:rPr>
          <w:rFonts w:asciiTheme="minorEastAsia" w:hAnsiTheme="minorEastAsia" w:cs="Times New Roman"/>
          <w:sz w:val="22"/>
          <w:lang w:eastAsia="zh-TW"/>
        </w:rPr>
      </w:pPr>
      <w:r w:rsidRPr="009516EE">
        <w:rPr>
          <w:rFonts w:asciiTheme="minorEastAsia" w:hAnsiTheme="minorEastAsia" w:cs="Times New Roman" w:hint="eastAsia"/>
          <w:sz w:val="22"/>
          <w:lang w:eastAsia="zh-TW"/>
        </w:rPr>
        <w:t>中華人民共和國外交部駐澳門特別行政區特派員公署</w:t>
      </w:r>
      <w:bookmarkStart w:id="4" w:name="Frailon2014"/>
      <w:bookmarkEnd w:id="2"/>
      <w:r>
        <w:rPr>
          <w:rFonts w:asciiTheme="minorEastAsia" w:hAnsiTheme="minorEastAsia" w:cs="Times New Roman" w:hint="eastAsia"/>
          <w:sz w:val="22"/>
          <w:lang w:eastAsia="zh-TW"/>
        </w:rPr>
        <w:t xml:space="preserve">  </w:t>
      </w:r>
    </w:p>
    <w:p w:rsidR="009945D8" w:rsidRPr="009516EE" w:rsidRDefault="009945D8" w:rsidP="009945D8">
      <w:pPr>
        <w:pStyle w:val="ListParagraph"/>
        <w:spacing w:line="360" w:lineRule="auto"/>
        <w:ind w:left="270" w:firstLineChars="0" w:firstLine="0"/>
        <w:contextualSpacing/>
        <w:jc w:val="left"/>
        <w:rPr>
          <w:rFonts w:asciiTheme="minorEastAsia" w:hAnsiTheme="minorEastAsia" w:cs="Times New Roman"/>
          <w:sz w:val="22"/>
          <w:lang w:eastAsia="zh-TW"/>
        </w:rPr>
      </w:pPr>
      <w:r>
        <w:rPr>
          <w:rFonts w:asciiTheme="minorEastAsia" w:hAnsiTheme="minorEastAsia" w:cs="Times New Roman" w:hint="eastAsia"/>
          <w:sz w:val="22"/>
          <w:lang w:eastAsia="zh-TW"/>
        </w:rPr>
        <w:t xml:space="preserve">  </w:t>
      </w:r>
      <w:hyperlink r:id="rId10" w:history="1">
        <w:r w:rsidRPr="00C44AE0">
          <w:rPr>
            <w:rStyle w:val="Hyperlink"/>
            <w:rFonts w:asciiTheme="minorEastAsia" w:hAnsiTheme="minorEastAsia" w:cs="Times New Roman"/>
            <w:sz w:val="22"/>
            <w:lang w:eastAsia="zh-TW"/>
          </w:rPr>
          <w:t>http://www.fmcoprc.gov.mo/chn/satfygjzz/gjzzygjhy/</w:t>
        </w:r>
      </w:hyperlink>
    </w:p>
    <w:p w:rsidR="009945D8" w:rsidRPr="009516EE" w:rsidRDefault="009945D8" w:rsidP="00A242C0">
      <w:pPr>
        <w:pStyle w:val="ListParagraph"/>
        <w:numPr>
          <w:ilvl w:val="0"/>
          <w:numId w:val="2"/>
        </w:numPr>
        <w:spacing w:line="360" w:lineRule="auto"/>
        <w:ind w:left="270" w:firstLineChars="0" w:hanging="270"/>
        <w:contextualSpacing/>
        <w:jc w:val="left"/>
        <w:rPr>
          <w:rFonts w:asciiTheme="minorEastAsia" w:hAnsiTheme="minorEastAsia" w:cs="Times New Roman"/>
          <w:sz w:val="22"/>
          <w:lang w:eastAsia="zh-TW"/>
        </w:rPr>
      </w:pPr>
      <w:r w:rsidRPr="009516EE">
        <w:rPr>
          <w:rFonts w:asciiTheme="minorEastAsia" w:hAnsiTheme="minorEastAsia" w:cs="Times New Roman" w:hint="eastAsia"/>
          <w:sz w:val="22"/>
          <w:lang w:eastAsia="zh-TW"/>
        </w:rPr>
        <w:t>澳門高等教育局</w:t>
      </w:r>
      <w:r w:rsidRPr="009516EE">
        <w:rPr>
          <w:rFonts w:asciiTheme="minorEastAsia" w:hAnsiTheme="minorEastAsia" w:cs="Times New Roman"/>
          <w:sz w:val="22"/>
          <w:lang w:eastAsia="zh-TW"/>
        </w:rPr>
        <w:t>-高教統計數據彙編2018</w:t>
      </w:r>
      <w:r w:rsidRPr="009516EE">
        <w:rPr>
          <w:rFonts w:asciiTheme="minorEastAsia" w:hAnsiTheme="minorEastAsia" w:cs="Times New Roman" w:hint="eastAsia"/>
          <w:sz w:val="22"/>
          <w:lang w:eastAsia="zh-TW"/>
        </w:rPr>
        <w:t xml:space="preserve"> </w:t>
      </w:r>
      <w:hyperlink r:id="rId11" w:history="1">
        <w:r w:rsidRPr="009516EE">
          <w:rPr>
            <w:rStyle w:val="Hyperlink"/>
            <w:rFonts w:asciiTheme="minorEastAsia" w:hAnsiTheme="minorEastAsia" w:cs="Times New Roman"/>
            <w:sz w:val="22"/>
            <w:lang w:eastAsia="zh-TW"/>
          </w:rPr>
          <w:t>https://www.dses.gov.mo/</w:t>
        </w:r>
      </w:hyperlink>
    </w:p>
    <w:p w:rsidR="009945D8" w:rsidRPr="009516EE" w:rsidRDefault="009945D8" w:rsidP="00A242C0">
      <w:pPr>
        <w:pStyle w:val="ListParagraph"/>
        <w:numPr>
          <w:ilvl w:val="0"/>
          <w:numId w:val="2"/>
        </w:numPr>
        <w:spacing w:line="360" w:lineRule="auto"/>
        <w:ind w:left="270" w:firstLineChars="0" w:hanging="270"/>
        <w:contextualSpacing/>
        <w:jc w:val="left"/>
        <w:rPr>
          <w:rFonts w:asciiTheme="minorEastAsia" w:hAnsiTheme="minorEastAsia" w:cs="Times New Roman"/>
          <w:sz w:val="22"/>
          <w:lang w:eastAsia="zh-TW"/>
        </w:rPr>
      </w:pPr>
      <w:r w:rsidRPr="009516EE">
        <w:rPr>
          <w:rFonts w:asciiTheme="minorEastAsia" w:hAnsiTheme="minorEastAsia" w:cs="Times New Roman" w:hint="eastAsia"/>
          <w:sz w:val="22"/>
          <w:lang w:eastAsia="zh-TW"/>
        </w:rPr>
        <w:t>澳門特區統計暨普查局</w:t>
      </w:r>
      <w:hyperlink r:id="rId12" w:history="1">
        <w:r w:rsidRPr="009516EE">
          <w:rPr>
            <w:rStyle w:val="Hyperlink"/>
            <w:rFonts w:asciiTheme="minorEastAsia" w:hAnsiTheme="minorEastAsia" w:cs="Times New Roman"/>
            <w:sz w:val="22"/>
            <w:lang w:eastAsia="zh-TW"/>
          </w:rPr>
          <w:t>https://www.dsec.gov.mo/</w:t>
        </w:r>
      </w:hyperlink>
    </w:p>
    <w:p w:rsidR="00E81887" w:rsidRPr="009516EE" w:rsidRDefault="009945D8" w:rsidP="00A242C0">
      <w:pPr>
        <w:pStyle w:val="ListParagraph"/>
        <w:numPr>
          <w:ilvl w:val="0"/>
          <w:numId w:val="2"/>
        </w:numPr>
        <w:spacing w:line="360" w:lineRule="auto"/>
        <w:ind w:left="270" w:firstLineChars="0" w:hanging="270"/>
        <w:contextualSpacing/>
        <w:jc w:val="left"/>
        <w:rPr>
          <w:rFonts w:asciiTheme="minorEastAsia" w:hAnsiTheme="minorEastAsia" w:cs="Times New Roman"/>
          <w:sz w:val="22"/>
          <w:lang w:eastAsia="zh-TW"/>
        </w:rPr>
      </w:pPr>
      <w:r w:rsidRPr="009516EE">
        <w:rPr>
          <w:rFonts w:asciiTheme="minorEastAsia" w:hAnsiTheme="minorEastAsia" w:cs="Times New Roman" w:hint="eastAsia"/>
          <w:sz w:val="22"/>
          <w:lang w:eastAsia="zh-TW"/>
        </w:rPr>
        <w:t xml:space="preserve">澳門貿易投資促進局 </w:t>
      </w:r>
      <w:hyperlink r:id="rId13" w:history="1">
        <w:r w:rsidRPr="009516EE">
          <w:rPr>
            <w:rStyle w:val="Hyperlink"/>
            <w:rFonts w:asciiTheme="minorEastAsia" w:hAnsiTheme="minorEastAsia" w:cs="Times New Roman"/>
            <w:sz w:val="22"/>
            <w:lang w:eastAsia="zh-TW"/>
          </w:rPr>
          <w:t>https://m.ipim.gov.mo/</w:t>
        </w:r>
      </w:hyperlink>
      <w:r w:rsidRPr="009516EE">
        <w:rPr>
          <w:rFonts w:asciiTheme="minorEastAsia" w:hAnsiTheme="minorEastAsia" w:cs="Times New Roman" w:hint="eastAsia"/>
          <w:sz w:val="22"/>
          <w:lang w:eastAsia="zh-TW"/>
        </w:rPr>
        <w:t xml:space="preserve"> </w:t>
      </w:r>
      <w:bookmarkEnd w:id="3"/>
      <w:bookmarkEnd w:id="4"/>
    </w:p>
    <w:sectPr w:rsidR="00E81887" w:rsidRPr="009516EE" w:rsidSect="00794FC4">
      <w:footerReference w:type="default" r:id="rId14"/>
      <w:pgSz w:w="11906" w:h="16838"/>
      <w:pgMar w:top="1440" w:right="1800" w:bottom="1440" w:left="1800" w:header="851" w:footer="145"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3633" w:rsidRDefault="003B3633">
      <w:pPr>
        <w:spacing w:after="0" w:line="240" w:lineRule="auto"/>
        <w:rPr>
          <w:rFonts w:hint="eastAsia"/>
        </w:rPr>
      </w:pPr>
      <w:r>
        <w:separator/>
      </w:r>
    </w:p>
  </w:endnote>
  <w:endnote w:type="continuationSeparator" w:id="0">
    <w:p w:rsidR="003B3633" w:rsidRDefault="003B3633">
      <w:pPr>
        <w:spacing w:after="0" w:line="240" w:lineRule="auto"/>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DengXian">
    <w:altName w:val="等线"/>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w:altName w:val="新細明體"/>
    <w:panose1 w:val="00000000000000000000"/>
    <w:charset w:val="88"/>
    <w:family w:val="roman"/>
    <w:notTrueType/>
    <w:pitch w:val="default"/>
    <w:sig w:usb0="00000000" w:usb1="00000000" w:usb2="00000000" w:usb3="00000000" w:csb0="00000000" w:csb1="00000000"/>
  </w:font>
  <w:font w:name="新細明體">
    <w:altName w:val="PMingLiU"/>
    <w:panose1 w:val="02020500000000000000"/>
    <w:charset w:val="88"/>
    <w:family w:val="roman"/>
    <w:pitch w:val="variable"/>
    <w:sig w:usb0="A00002FF" w:usb1="28CFFCFA" w:usb2="00000016" w:usb3="00000000" w:csb0="00100001" w:csb1="00000000"/>
  </w:font>
  <w:font w:name="等线 Light">
    <w:altName w:val="新細明體"/>
    <w:panose1 w:val="00000000000000000000"/>
    <w:charset w:val="88"/>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887" w:rsidRDefault="003A48AC" w:rsidP="003A48AC">
    <w:pPr>
      <w:pStyle w:val="Footer"/>
      <w:jc w:val="center"/>
      <w:rPr>
        <w:rFonts w:hint="eastAsia"/>
      </w:rPr>
    </w:pPr>
    <w:r w:rsidRPr="003A48AC">
      <w:rPr>
        <w:rFonts w:hint="eastAsia"/>
        <w:lang w:eastAsia="zh-TW"/>
      </w:rPr>
      <w:t>-</w:t>
    </w:r>
    <w:r>
      <w:t xml:space="preserve"> </w:t>
    </w:r>
    <w:sdt>
      <w:sdtPr>
        <w:id w:val="-1420016961"/>
      </w:sdtPr>
      <w:sdtContent>
        <w:r w:rsidR="001A0B02">
          <w:rPr>
            <w:rFonts w:eastAsia="新細明體"/>
            <w:lang w:val="zh-CN" w:eastAsia="zh-TW"/>
          </w:rPr>
          <w:fldChar w:fldCharType="begin"/>
        </w:r>
        <w:r w:rsidR="001E7D33">
          <w:rPr>
            <w:rFonts w:eastAsia="新細明體"/>
            <w:lang w:val="zh-CN" w:eastAsia="zh-TW"/>
          </w:rPr>
          <w:instrText>PAGE   \* MERGEFORMAT</w:instrText>
        </w:r>
        <w:r w:rsidR="001A0B02">
          <w:rPr>
            <w:rFonts w:eastAsia="新細明體"/>
            <w:lang w:val="zh-CN" w:eastAsia="zh-TW"/>
          </w:rPr>
          <w:fldChar w:fldCharType="separate"/>
        </w:r>
        <w:r w:rsidR="00BE5FAE">
          <w:rPr>
            <w:rFonts w:eastAsia="新細明體" w:hint="eastAsia"/>
            <w:noProof/>
            <w:lang w:val="zh-CN" w:eastAsia="zh-TW"/>
          </w:rPr>
          <w:t>7</w:t>
        </w:r>
        <w:r w:rsidR="001A0B02">
          <w:rPr>
            <w:rFonts w:eastAsia="新細明體"/>
            <w:lang w:val="zh-CN" w:eastAsia="zh-TW"/>
          </w:rPr>
          <w:fldChar w:fldCharType="end"/>
        </w:r>
        <w:r>
          <w:rPr>
            <w:rFonts w:eastAsia="DengXian"/>
            <w:lang w:val="zh-CN"/>
          </w:rPr>
          <w:t xml:space="preserve"> </w:t>
        </w:r>
        <w:r>
          <w:rPr>
            <w:rFonts w:eastAsia="新細明體" w:hint="eastAsia"/>
            <w:lang w:val="zh-CN" w:eastAsia="zh-TW"/>
          </w:rPr>
          <w:t>-</w:t>
        </w:r>
      </w:sdtContent>
    </w:sdt>
  </w:p>
  <w:p w:rsidR="00E81887" w:rsidRDefault="00E81887">
    <w:pPr>
      <w:pStyle w:val="Footer"/>
      <w:rPr>
        <w:rFonts w:hint="eastAsi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3633" w:rsidRDefault="003B3633">
      <w:pPr>
        <w:spacing w:after="0" w:line="240" w:lineRule="auto"/>
        <w:rPr>
          <w:rFonts w:hint="eastAsia"/>
        </w:rPr>
      </w:pPr>
      <w:r>
        <w:separator/>
      </w:r>
    </w:p>
  </w:footnote>
  <w:footnote w:type="continuationSeparator" w:id="0">
    <w:p w:rsidR="003B3633" w:rsidRDefault="003B3633">
      <w:pPr>
        <w:spacing w:after="0" w:line="240" w:lineRule="auto"/>
        <w:rPr>
          <w:rFonts w:hint="eastAsia"/>
        </w:rPr>
      </w:pPr>
      <w:r>
        <w:continuationSeparator/>
      </w:r>
    </w:p>
  </w:footnote>
  <w:footnote w:id="1">
    <w:p w:rsidR="00E81887" w:rsidRDefault="001E7D33">
      <w:pPr>
        <w:pStyle w:val="FootnoteText"/>
        <w:rPr>
          <w:rFonts w:hint="eastAsia"/>
          <w:lang w:eastAsia="zh-TW"/>
        </w:rPr>
      </w:pPr>
      <w:r>
        <w:rPr>
          <w:rStyle w:val="FootnoteReference"/>
        </w:rPr>
        <w:footnoteRef/>
      </w:r>
      <w:r>
        <w:rPr>
          <w:lang w:eastAsia="zh-TW"/>
        </w:rPr>
        <w:t xml:space="preserve"> </w:t>
      </w:r>
      <w:r>
        <w:rPr>
          <w:rFonts w:hint="eastAsia"/>
          <w:lang w:eastAsia="zh-TW"/>
        </w:rPr>
        <w:t>習近平：《習近平談治國理政》第二卷，外文出版社，</w:t>
      </w:r>
      <w:r>
        <w:rPr>
          <w:rFonts w:ascii="Times New Roman" w:hAnsi="Times New Roman" w:cs="Times New Roman"/>
          <w:lang w:eastAsia="zh-TW"/>
        </w:rPr>
        <w:t>2019</w:t>
      </w:r>
      <w:r>
        <w:rPr>
          <w:rFonts w:hint="eastAsia"/>
          <w:lang w:eastAsia="zh-TW"/>
        </w:rPr>
        <w:t>年</w:t>
      </w:r>
      <w:r>
        <w:rPr>
          <w:rFonts w:ascii="Times New Roman" w:hAnsi="Times New Roman" w:cs="Times New Roman"/>
          <w:lang w:eastAsia="zh-TW"/>
        </w:rPr>
        <w:t>11</w:t>
      </w:r>
      <w:r>
        <w:rPr>
          <w:rFonts w:hint="eastAsia"/>
          <w:lang w:eastAsia="zh-TW"/>
        </w:rPr>
        <w:t>月，第</w:t>
      </w:r>
      <w:r>
        <w:rPr>
          <w:rFonts w:ascii="Times New Roman" w:hAnsi="Times New Roman" w:cs="Times New Roman"/>
          <w:lang w:eastAsia="zh-TW"/>
        </w:rPr>
        <w:t>522</w:t>
      </w:r>
      <w:r>
        <w:rPr>
          <w:rFonts w:hint="eastAsia"/>
          <w:lang w:eastAsia="zh-TW"/>
        </w:rPr>
        <w:t>頁。</w:t>
      </w:r>
    </w:p>
  </w:footnote>
  <w:footnote w:id="2">
    <w:p w:rsidR="00E81887" w:rsidRDefault="001E7D33">
      <w:pPr>
        <w:pStyle w:val="FootnoteText"/>
        <w:rPr>
          <w:rFonts w:hint="eastAsia"/>
          <w:lang w:eastAsia="zh-TW"/>
        </w:rPr>
      </w:pPr>
      <w:r>
        <w:rPr>
          <w:rStyle w:val="FootnoteReference"/>
        </w:rPr>
        <w:footnoteRef/>
      </w:r>
      <w:r>
        <w:rPr>
          <w:lang w:eastAsia="zh-TW"/>
        </w:rPr>
        <w:t xml:space="preserve"> </w:t>
      </w:r>
      <w:r>
        <w:rPr>
          <w:rFonts w:hint="eastAsia"/>
          <w:lang w:eastAsia="zh-TW"/>
        </w:rPr>
        <w:t>楊允中：《澳門基本法釋要》，澳門特別行政區法務局出版，</w:t>
      </w:r>
      <w:r>
        <w:rPr>
          <w:rFonts w:ascii="Times New Roman" w:hAnsi="Times New Roman" w:cs="Times New Roman"/>
          <w:lang w:eastAsia="zh-TW"/>
        </w:rPr>
        <w:t>2004</w:t>
      </w:r>
      <w:r>
        <w:rPr>
          <w:rFonts w:ascii="Times New Roman" w:hAnsi="Times New Roman" w:cs="Times New Roman"/>
          <w:lang w:eastAsia="zh-TW"/>
        </w:rPr>
        <w:t>年，第</w:t>
      </w:r>
      <w:r>
        <w:rPr>
          <w:rFonts w:ascii="Times New Roman" w:hAnsi="Times New Roman" w:cs="Times New Roman"/>
          <w:lang w:eastAsia="zh-TW"/>
        </w:rPr>
        <w:t>42</w:t>
      </w:r>
      <w:r>
        <w:rPr>
          <w:rFonts w:hint="eastAsia"/>
          <w:lang w:eastAsia="zh-TW"/>
        </w:rPr>
        <w:t>頁。</w:t>
      </w:r>
    </w:p>
  </w:footnote>
  <w:footnote w:id="3">
    <w:p w:rsidR="00E81887" w:rsidRDefault="001E7D33">
      <w:pPr>
        <w:pStyle w:val="FootnoteText"/>
        <w:rPr>
          <w:rFonts w:hint="eastAsia"/>
          <w:lang w:eastAsia="zh-TW"/>
        </w:rPr>
      </w:pPr>
      <w:r>
        <w:rPr>
          <w:rStyle w:val="FootnoteReference"/>
        </w:rPr>
        <w:footnoteRef/>
      </w:r>
      <w:r>
        <w:rPr>
          <w:rFonts w:hint="eastAsia"/>
          <w:lang w:eastAsia="zh-TW"/>
        </w:rPr>
        <w:t xml:space="preserve"> </w:t>
      </w:r>
      <w:r>
        <w:rPr>
          <w:rFonts w:hint="eastAsia"/>
          <w:lang w:eastAsia="zh-TW"/>
        </w:rPr>
        <w:t>習近平：《習近平談治國理政》第二卷，外文出版社，</w:t>
      </w:r>
      <w:r>
        <w:rPr>
          <w:rFonts w:ascii="Times New Roman" w:hAnsi="Times New Roman" w:cs="Times New Roman"/>
          <w:lang w:eastAsia="zh-TW"/>
        </w:rPr>
        <w:t>2019</w:t>
      </w:r>
      <w:r>
        <w:rPr>
          <w:rFonts w:hint="eastAsia"/>
          <w:lang w:eastAsia="zh-TW"/>
        </w:rPr>
        <w:t>年</w:t>
      </w:r>
      <w:r>
        <w:rPr>
          <w:rFonts w:ascii="Times New Roman" w:hAnsi="Times New Roman" w:cs="Times New Roman"/>
          <w:lang w:eastAsia="zh-TW"/>
        </w:rPr>
        <w:t>11</w:t>
      </w:r>
      <w:r>
        <w:rPr>
          <w:rFonts w:hint="eastAsia"/>
          <w:lang w:eastAsia="zh-TW"/>
        </w:rPr>
        <w:t>月，第</w:t>
      </w:r>
      <w:r>
        <w:rPr>
          <w:rFonts w:ascii="Times New Roman" w:hAnsi="Times New Roman" w:cs="Times New Roman"/>
          <w:lang w:eastAsia="zh-TW"/>
        </w:rPr>
        <w:t>5</w:t>
      </w:r>
      <w:r>
        <w:rPr>
          <w:rFonts w:ascii="Times New Roman" w:hAnsi="Times New Roman" w:cs="Times New Roman" w:hint="eastAsia"/>
          <w:lang w:eastAsia="zh-TW"/>
        </w:rPr>
        <w:t>04</w:t>
      </w:r>
      <w:r>
        <w:rPr>
          <w:rFonts w:hint="eastAsia"/>
          <w:lang w:eastAsia="zh-TW"/>
        </w:rPr>
        <w:t>頁。</w:t>
      </w:r>
    </w:p>
  </w:footnote>
  <w:footnote w:id="4">
    <w:p w:rsidR="005C11F2" w:rsidRDefault="005C11F2">
      <w:pPr>
        <w:pStyle w:val="FootnoteText"/>
        <w:rPr>
          <w:rFonts w:hint="eastAsia"/>
          <w:lang w:eastAsia="zh-TW"/>
        </w:rPr>
      </w:pPr>
      <w:r>
        <w:rPr>
          <w:rStyle w:val="FootnoteReference"/>
        </w:rPr>
        <w:footnoteRef/>
      </w:r>
      <w:r>
        <w:rPr>
          <w:lang w:eastAsia="zh-TW"/>
        </w:rPr>
        <w:t xml:space="preserve"> </w:t>
      </w:r>
      <w:r w:rsidRPr="005C11F2">
        <w:rPr>
          <w:rFonts w:hint="eastAsia"/>
          <w:lang w:eastAsia="zh-TW"/>
        </w:rPr>
        <w:t>澳門高等教育局</w:t>
      </w:r>
      <w:r w:rsidRPr="005C11F2">
        <w:rPr>
          <w:lang w:eastAsia="zh-TW"/>
        </w:rPr>
        <w:t>-</w:t>
      </w:r>
      <w:r w:rsidRPr="005C11F2">
        <w:rPr>
          <w:lang w:eastAsia="zh-TW"/>
        </w:rPr>
        <w:t>高教統計數據彙編</w:t>
      </w:r>
      <w:r w:rsidRPr="005C11F2">
        <w:rPr>
          <w:lang w:eastAsia="zh-TW"/>
        </w:rPr>
        <w:t>2018</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DAE"/>
    <w:multiLevelType w:val="hybridMultilevel"/>
    <w:tmpl w:val="4EE4188E"/>
    <w:lvl w:ilvl="0" w:tplc="C6C88188">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9F8799C"/>
    <w:multiLevelType w:val="hybridMultilevel"/>
    <w:tmpl w:val="3CF02216"/>
    <w:lvl w:ilvl="0" w:tplc="BB1A6188">
      <w:start w:val="1"/>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B9840E9"/>
    <w:multiLevelType w:val="hybridMultilevel"/>
    <w:tmpl w:val="DA962B2C"/>
    <w:lvl w:ilvl="0" w:tplc="C6C88188">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DFD3D2E"/>
    <w:multiLevelType w:val="hybridMultilevel"/>
    <w:tmpl w:val="AC3CFBE8"/>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374333BD"/>
    <w:multiLevelType w:val="hybridMultilevel"/>
    <w:tmpl w:val="19FEA198"/>
    <w:lvl w:ilvl="0" w:tplc="C6C88188">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DAA5CD0"/>
    <w:multiLevelType w:val="hybridMultilevel"/>
    <w:tmpl w:val="AE547530"/>
    <w:lvl w:ilvl="0" w:tplc="C6C88188">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79E51A69"/>
    <w:multiLevelType w:val="multilevel"/>
    <w:tmpl w:val="C584061C"/>
    <w:lvl w:ilvl="0">
      <w:start w:val="1"/>
      <w:numFmt w:val="taiwaneseCountingThousand"/>
      <w:lvlText w:val="(%1)"/>
      <w:lvlJc w:val="left"/>
      <w:pPr>
        <w:ind w:left="510" w:hanging="510"/>
      </w:pPr>
      <w:rPr>
        <w:rFonts w:hint="eastAsia"/>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7">
    <w:nsid w:val="7DDD4E14"/>
    <w:multiLevelType w:val="multilevel"/>
    <w:tmpl w:val="8F7E6D7C"/>
    <w:lvl w:ilvl="0">
      <w:start w:val="1"/>
      <w:numFmt w:val="decimal"/>
      <w:lvlText w:val="[%1] "/>
      <w:lvlJc w:val="left"/>
      <w:pPr>
        <w:ind w:left="360" w:hanging="360"/>
      </w:pPr>
      <w:rPr>
        <w:rFonts w:ascii="Times New Roman" w:hAnsi="Times New Roman" w:cs="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6"/>
  </w:num>
  <w:num w:numId="2">
    <w:abstractNumId w:val="7"/>
  </w:num>
  <w:num w:numId="3">
    <w:abstractNumId w:val="3"/>
  </w:num>
  <w:num w:numId="4">
    <w:abstractNumId w:val="5"/>
  </w:num>
  <w:num w:numId="5">
    <w:abstractNumId w:val="2"/>
  </w:num>
  <w:num w:numId="6">
    <w:abstractNumId w:val="0"/>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4004B"/>
    <w:rsid w:val="000058FE"/>
    <w:rsid w:val="00012151"/>
    <w:rsid w:val="00014F23"/>
    <w:rsid w:val="000156BC"/>
    <w:rsid w:val="000179D2"/>
    <w:rsid w:val="000219C2"/>
    <w:rsid w:val="00025DF5"/>
    <w:rsid w:val="0002762D"/>
    <w:rsid w:val="00031416"/>
    <w:rsid w:val="00033C64"/>
    <w:rsid w:val="00036A33"/>
    <w:rsid w:val="000400BF"/>
    <w:rsid w:val="000436FA"/>
    <w:rsid w:val="00046829"/>
    <w:rsid w:val="000552AD"/>
    <w:rsid w:val="00055C6F"/>
    <w:rsid w:val="000633E3"/>
    <w:rsid w:val="00063E1D"/>
    <w:rsid w:val="000640BF"/>
    <w:rsid w:val="000657B4"/>
    <w:rsid w:val="00065EE7"/>
    <w:rsid w:val="0007274C"/>
    <w:rsid w:val="00073C3C"/>
    <w:rsid w:val="00081160"/>
    <w:rsid w:val="00084E28"/>
    <w:rsid w:val="00091365"/>
    <w:rsid w:val="000A2B37"/>
    <w:rsid w:val="000A5B8A"/>
    <w:rsid w:val="000B44CA"/>
    <w:rsid w:val="000C0572"/>
    <w:rsid w:val="000C0A8F"/>
    <w:rsid w:val="000C1070"/>
    <w:rsid w:val="000D0448"/>
    <w:rsid w:val="000D214F"/>
    <w:rsid w:val="000D7F3A"/>
    <w:rsid w:val="000E66CD"/>
    <w:rsid w:val="000E7B32"/>
    <w:rsid w:val="000F14B1"/>
    <w:rsid w:val="000F4560"/>
    <w:rsid w:val="00102EE5"/>
    <w:rsid w:val="00103970"/>
    <w:rsid w:val="0010453E"/>
    <w:rsid w:val="00107411"/>
    <w:rsid w:val="001164B2"/>
    <w:rsid w:val="00116FFD"/>
    <w:rsid w:val="00127E87"/>
    <w:rsid w:val="00130974"/>
    <w:rsid w:val="00130A6B"/>
    <w:rsid w:val="00140F66"/>
    <w:rsid w:val="00142A0E"/>
    <w:rsid w:val="00146A32"/>
    <w:rsid w:val="00163EF9"/>
    <w:rsid w:val="00164387"/>
    <w:rsid w:val="0016626D"/>
    <w:rsid w:val="001748DB"/>
    <w:rsid w:val="00174923"/>
    <w:rsid w:val="001762BB"/>
    <w:rsid w:val="00177792"/>
    <w:rsid w:val="001804C9"/>
    <w:rsid w:val="0018494A"/>
    <w:rsid w:val="001A0B02"/>
    <w:rsid w:val="001A202F"/>
    <w:rsid w:val="001A2CFB"/>
    <w:rsid w:val="001A7765"/>
    <w:rsid w:val="001B006B"/>
    <w:rsid w:val="001B07FF"/>
    <w:rsid w:val="001B1604"/>
    <w:rsid w:val="001B6886"/>
    <w:rsid w:val="001D072B"/>
    <w:rsid w:val="001D1C0C"/>
    <w:rsid w:val="001D3A2E"/>
    <w:rsid w:val="001D4F0D"/>
    <w:rsid w:val="001D6D7F"/>
    <w:rsid w:val="001E3078"/>
    <w:rsid w:val="001E720B"/>
    <w:rsid w:val="001E7D33"/>
    <w:rsid w:val="001F0A52"/>
    <w:rsid w:val="001F0B6E"/>
    <w:rsid w:val="001F21DC"/>
    <w:rsid w:val="001F447D"/>
    <w:rsid w:val="001F62CE"/>
    <w:rsid w:val="001F742A"/>
    <w:rsid w:val="002022A4"/>
    <w:rsid w:val="0020277D"/>
    <w:rsid w:val="00204E3A"/>
    <w:rsid w:val="002065C8"/>
    <w:rsid w:val="002071AF"/>
    <w:rsid w:val="002071D0"/>
    <w:rsid w:val="002072D6"/>
    <w:rsid w:val="00210245"/>
    <w:rsid w:val="0021196E"/>
    <w:rsid w:val="0021423F"/>
    <w:rsid w:val="00221BB9"/>
    <w:rsid w:val="00222807"/>
    <w:rsid w:val="0022380E"/>
    <w:rsid w:val="00231656"/>
    <w:rsid w:val="002361C5"/>
    <w:rsid w:val="002427B5"/>
    <w:rsid w:val="00244173"/>
    <w:rsid w:val="00244434"/>
    <w:rsid w:val="0024663E"/>
    <w:rsid w:val="0024792F"/>
    <w:rsid w:val="00253712"/>
    <w:rsid w:val="00257760"/>
    <w:rsid w:val="002604FD"/>
    <w:rsid w:val="002659E0"/>
    <w:rsid w:val="002705D5"/>
    <w:rsid w:val="002709DC"/>
    <w:rsid w:val="0027317A"/>
    <w:rsid w:val="002760ED"/>
    <w:rsid w:val="00280CDB"/>
    <w:rsid w:val="00281B1D"/>
    <w:rsid w:val="002826DC"/>
    <w:rsid w:val="00285B8E"/>
    <w:rsid w:val="002871BA"/>
    <w:rsid w:val="002A6265"/>
    <w:rsid w:val="002B200E"/>
    <w:rsid w:val="002B3342"/>
    <w:rsid w:val="002B3C4E"/>
    <w:rsid w:val="002B5203"/>
    <w:rsid w:val="002B7911"/>
    <w:rsid w:val="002B7E2E"/>
    <w:rsid w:val="002C33F8"/>
    <w:rsid w:val="002C3644"/>
    <w:rsid w:val="002C4EF3"/>
    <w:rsid w:val="002E3209"/>
    <w:rsid w:val="002E45E8"/>
    <w:rsid w:val="002F2E30"/>
    <w:rsid w:val="002F3A01"/>
    <w:rsid w:val="0030280F"/>
    <w:rsid w:val="00303705"/>
    <w:rsid w:val="00311310"/>
    <w:rsid w:val="0031174B"/>
    <w:rsid w:val="00313BAB"/>
    <w:rsid w:val="00313C4D"/>
    <w:rsid w:val="00314FEF"/>
    <w:rsid w:val="0031647F"/>
    <w:rsid w:val="003301EB"/>
    <w:rsid w:val="00331807"/>
    <w:rsid w:val="00336C36"/>
    <w:rsid w:val="003403CA"/>
    <w:rsid w:val="0034133E"/>
    <w:rsid w:val="00341D16"/>
    <w:rsid w:val="00344B14"/>
    <w:rsid w:val="00344E94"/>
    <w:rsid w:val="0034595E"/>
    <w:rsid w:val="00352A64"/>
    <w:rsid w:val="003562E8"/>
    <w:rsid w:val="0035777F"/>
    <w:rsid w:val="00357B73"/>
    <w:rsid w:val="00357CFD"/>
    <w:rsid w:val="00362679"/>
    <w:rsid w:val="00364CB0"/>
    <w:rsid w:val="003679C3"/>
    <w:rsid w:val="00367B0A"/>
    <w:rsid w:val="003732D0"/>
    <w:rsid w:val="00376668"/>
    <w:rsid w:val="0037776F"/>
    <w:rsid w:val="0038029A"/>
    <w:rsid w:val="00386B1E"/>
    <w:rsid w:val="003878FE"/>
    <w:rsid w:val="00390F76"/>
    <w:rsid w:val="00391A22"/>
    <w:rsid w:val="003945F3"/>
    <w:rsid w:val="0039517C"/>
    <w:rsid w:val="0039626E"/>
    <w:rsid w:val="003A0271"/>
    <w:rsid w:val="003A42FA"/>
    <w:rsid w:val="003A48AC"/>
    <w:rsid w:val="003A5D12"/>
    <w:rsid w:val="003A5F46"/>
    <w:rsid w:val="003B3633"/>
    <w:rsid w:val="003B418D"/>
    <w:rsid w:val="003B51A7"/>
    <w:rsid w:val="003B5760"/>
    <w:rsid w:val="003B61B1"/>
    <w:rsid w:val="003B75D7"/>
    <w:rsid w:val="003C3FA2"/>
    <w:rsid w:val="003C6FA4"/>
    <w:rsid w:val="003D1762"/>
    <w:rsid w:val="003D186C"/>
    <w:rsid w:val="003D19A3"/>
    <w:rsid w:val="003D3C54"/>
    <w:rsid w:val="003D6760"/>
    <w:rsid w:val="003E02A6"/>
    <w:rsid w:val="003E4141"/>
    <w:rsid w:val="003E6229"/>
    <w:rsid w:val="003F016C"/>
    <w:rsid w:val="003F159D"/>
    <w:rsid w:val="003F2C7C"/>
    <w:rsid w:val="003F4D15"/>
    <w:rsid w:val="003F5FDD"/>
    <w:rsid w:val="003F6CF2"/>
    <w:rsid w:val="00401ECA"/>
    <w:rsid w:val="00402F2E"/>
    <w:rsid w:val="004045E4"/>
    <w:rsid w:val="0040661F"/>
    <w:rsid w:val="00411A60"/>
    <w:rsid w:val="00412E42"/>
    <w:rsid w:val="004155B6"/>
    <w:rsid w:val="00415685"/>
    <w:rsid w:val="00417390"/>
    <w:rsid w:val="004173FD"/>
    <w:rsid w:val="0042238B"/>
    <w:rsid w:val="00427F94"/>
    <w:rsid w:val="004325E4"/>
    <w:rsid w:val="0043457F"/>
    <w:rsid w:val="00434929"/>
    <w:rsid w:val="004361ED"/>
    <w:rsid w:val="004401CD"/>
    <w:rsid w:val="004431E6"/>
    <w:rsid w:val="00443AF6"/>
    <w:rsid w:val="004471DB"/>
    <w:rsid w:val="00461EF9"/>
    <w:rsid w:val="00464924"/>
    <w:rsid w:val="00465255"/>
    <w:rsid w:val="00465B58"/>
    <w:rsid w:val="00466950"/>
    <w:rsid w:val="00467915"/>
    <w:rsid w:val="004679DE"/>
    <w:rsid w:val="00470A24"/>
    <w:rsid w:val="0047229D"/>
    <w:rsid w:val="00473558"/>
    <w:rsid w:val="00474002"/>
    <w:rsid w:val="004741F4"/>
    <w:rsid w:val="00476C29"/>
    <w:rsid w:val="004858FE"/>
    <w:rsid w:val="0048633E"/>
    <w:rsid w:val="00491C5E"/>
    <w:rsid w:val="004930AD"/>
    <w:rsid w:val="00495FD3"/>
    <w:rsid w:val="004B04E3"/>
    <w:rsid w:val="004B425C"/>
    <w:rsid w:val="004B67A2"/>
    <w:rsid w:val="004B6AE1"/>
    <w:rsid w:val="004D1411"/>
    <w:rsid w:val="004D1B4C"/>
    <w:rsid w:val="004D7FA1"/>
    <w:rsid w:val="004E0A84"/>
    <w:rsid w:val="004E230A"/>
    <w:rsid w:val="004E38BF"/>
    <w:rsid w:val="004E38F1"/>
    <w:rsid w:val="004F02FA"/>
    <w:rsid w:val="004F24A2"/>
    <w:rsid w:val="004F275E"/>
    <w:rsid w:val="004F2A80"/>
    <w:rsid w:val="004F30E1"/>
    <w:rsid w:val="004F42E5"/>
    <w:rsid w:val="00503B0E"/>
    <w:rsid w:val="005040B1"/>
    <w:rsid w:val="005055DF"/>
    <w:rsid w:val="00520831"/>
    <w:rsid w:val="00521041"/>
    <w:rsid w:val="00522A72"/>
    <w:rsid w:val="00531F15"/>
    <w:rsid w:val="005343F5"/>
    <w:rsid w:val="00535590"/>
    <w:rsid w:val="0053563B"/>
    <w:rsid w:val="00536EB3"/>
    <w:rsid w:val="005372F3"/>
    <w:rsid w:val="0054215C"/>
    <w:rsid w:val="005427B3"/>
    <w:rsid w:val="00544671"/>
    <w:rsid w:val="00550D7D"/>
    <w:rsid w:val="00553C06"/>
    <w:rsid w:val="005561AC"/>
    <w:rsid w:val="005570FE"/>
    <w:rsid w:val="005664C3"/>
    <w:rsid w:val="0057175E"/>
    <w:rsid w:val="00573096"/>
    <w:rsid w:val="005751DC"/>
    <w:rsid w:val="00576610"/>
    <w:rsid w:val="00577E7E"/>
    <w:rsid w:val="00582DD5"/>
    <w:rsid w:val="00586036"/>
    <w:rsid w:val="005940DB"/>
    <w:rsid w:val="00596453"/>
    <w:rsid w:val="0059672A"/>
    <w:rsid w:val="005A336F"/>
    <w:rsid w:val="005B2241"/>
    <w:rsid w:val="005B7D29"/>
    <w:rsid w:val="005C11F2"/>
    <w:rsid w:val="005C2C69"/>
    <w:rsid w:val="005C52A3"/>
    <w:rsid w:val="005D2527"/>
    <w:rsid w:val="005D4752"/>
    <w:rsid w:val="005E32C9"/>
    <w:rsid w:val="005E3EF5"/>
    <w:rsid w:val="005E536C"/>
    <w:rsid w:val="005E7777"/>
    <w:rsid w:val="005F1663"/>
    <w:rsid w:val="005F204F"/>
    <w:rsid w:val="005F2141"/>
    <w:rsid w:val="005F6193"/>
    <w:rsid w:val="005F721A"/>
    <w:rsid w:val="0060187B"/>
    <w:rsid w:val="006050F2"/>
    <w:rsid w:val="00605890"/>
    <w:rsid w:val="00607956"/>
    <w:rsid w:val="00615C8C"/>
    <w:rsid w:val="0061647C"/>
    <w:rsid w:val="00616C97"/>
    <w:rsid w:val="00617695"/>
    <w:rsid w:val="00620816"/>
    <w:rsid w:val="00620B89"/>
    <w:rsid w:val="006350F9"/>
    <w:rsid w:val="00635930"/>
    <w:rsid w:val="006367F4"/>
    <w:rsid w:val="00637687"/>
    <w:rsid w:val="00641138"/>
    <w:rsid w:val="00641CCE"/>
    <w:rsid w:val="00642121"/>
    <w:rsid w:val="00644F64"/>
    <w:rsid w:val="006459A0"/>
    <w:rsid w:val="00653FDB"/>
    <w:rsid w:val="006559FB"/>
    <w:rsid w:val="006665D1"/>
    <w:rsid w:val="00671E31"/>
    <w:rsid w:val="006729C7"/>
    <w:rsid w:val="006805E7"/>
    <w:rsid w:val="00682DF4"/>
    <w:rsid w:val="006847E3"/>
    <w:rsid w:val="00686EF1"/>
    <w:rsid w:val="006978CF"/>
    <w:rsid w:val="00697A20"/>
    <w:rsid w:val="006A125E"/>
    <w:rsid w:val="006A22EE"/>
    <w:rsid w:val="006A3182"/>
    <w:rsid w:val="006A3638"/>
    <w:rsid w:val="006B306B"/>
    <w:rsid w:val="006B670D"/>
    <w:rsid w:val="006B6D73"/>
    <w:rsid w:val="006C6821"/>
    <w:rsid w:val="006D326A"/>
    <w:rsid w:val="006E3495"/>
    <w:rsid w:val="006F1403"/>
    <w:rsid w:val="006F3E67"/>
    <w:rsid w:val="006F6A09"/>
    <w:rsid w:val="00701953"/>
    <w:rsid w:val="00701CC2"/>
    <w:rsid w:val="0070648D"/>
    <w:rsid w:val="00706A19"/>
    <w:rsid w:val="00707C76"/>
    <w:rsid w:val="007113DF"/>
    <w:rsid w:val="00712262"/>
    <w:rsid w:val="0071319C"/>
    <w:rsid w:val="007158FC"/>
    <w:rsid w:val="00715971"/>
    <w:rsid w:val="00716D07"/>
    <w:rsid w:val="00724F76"/>
    <w:rsid w:val="007309C6"/>
    <w:rsid w:val="00746CDA"/>
    <w:rsid w:val="00751B80"/>
    <w:rsid w:val="00756D5A"/>
    <w:rsid w:val="00761DA9"/>
    <w:rsid w:val="00761EBB"/>
    <w:rsid w:val="00762D22"/>
    <w:rsid w:val="00763B26"/>
    <w:rsid w:val="00763F75"/>
    <w:rsid w:val="0076485B"/>
    <w:rsid w:val="00764F91"/>
    <w:rsid w:val="00770D35"/>
    <w:rsid w:val="007717C6"/>
    <w:rsid w:val="00775043"/>
    <w:rsid w:val="00785E0A"/>
    <w:rsid w:val="00790C91"/>
    <w:rsid w:val="00794FC4"/>
    <w:rsid w:val="00796ECA"/>
    <w:rsid w:val="0079778C"/>
    <w:rsid w:val="007A4F9F"/>
    <w:rsid w:val="007A6642"/>
    <w:rsid w:val="007B25C3"/>
    <w:rsid w:val="007B2C82"/>
    <w:rsid w:val="007C162B"/>
    <w:rsid w:val="007C5B97"/>
    <w:rsid w:val="007C63E7"/>
    <w:rsid w:val="007D3516"/>
    <w:rsid w:val="007D3BB0"/>
    <w:rsid w:val="007E3AE6"/>
    <w:rsid w:val="007E486D"/>
    <w:rsid w:val="007F472F"/>
    <w:rsid w:val="00811E25"/>
    <w:rsid w:val="00812A58"/>
    <w:rsid w:val="008177FC"/>
    <w:rsid w:val="008212F4"/>
    <w:rsid w:val="008255F6"/>
    <w:rsid w:val="00830B79"/>
    <w:rsid w:val="00835E72"/>
    <w:rsid w:val="00837636"/>
    <w:rsid w:val="008423A1"/>
    <w:rsid w:val="008460DD"/>
    <w:rsid w:val="00850119"/>
    <w:rsid w:val="00854ABB"/>
    <w:rsid w:val="00854E05"/>
    <w:rsid w:val="0085570C"/>
    <w:rsid w:val="00857553"/>
    <w:rsid w:val="00860BF0"/>
    <w:rsid w:val="008626D6"/>
    <w:rsid w:val="00867514"/>
    <w:rsid w:val="00876793"/>
    <w:rsid w:val="0088450A"/>
    <w:rsid w:val="0088549D"/>
    <w:rsid w:val="008877A4"/>
    <w:rsid w:val="00897696"/>
    <w:rsid w:val="00897AE6"/>
    <w:rsid w:val="008A0E4B"/>
    <w:rsid w:val="008A3911"/>
    <w:rsid w:val="008A3E61"/>
    <w:rsid w:val="008A4191"/>
    <w:rsid w:val="008A525F"/>
    <w:rsid w:val="008B07C0"/>
    <w:rsid w:val="008B180A"/>
    <w:rsid w:val="008B365C"/>
    <w:rsid w:val="008D4004"/>
    <w:rsid w:val="008E7F59"/>
    <w:rsid w:val="008F1037"/>
    <w:rsid w:val="008F325C"/>
    <w:rsid w:val="008F6607"/>
    <w:rsid w:val="008F79BD"/>
    <w:rsid w:val="0090607F"/>
    <w:rsid w:val="00911386"/>
    <w:rsid w:val="00912A6C"/>
    <w:rsid w:val="00915231"/>
    <w:rsid w:val="0091787E"/>
    <w:rsid w:val="009209A8"/>
    <w:rsid w:val="00921A4E"/>
    <w:rsid w:val="009236C5"/>
    <w:rsid w:val="00924757"/>
    <w:rsid w:val="00931DE8"/>
    <w:rsid w:val="0093750D"/>
    <w:rsid w:val="00940650"/>
    <w:rsid w:val="00940C06"/>
    <w:rsid w:val="00940E42"/>
    <w:rsid w:val="00950AA0"/>
    <w:rsid w:val="009516EE"/>
    <w:rsid w:val="009517A4"/>
    <w:rsid w:val="00951D9A"/>
    <w:rsid w:val="009542EE"/>
    <w:rsid w:val="00954D54"/>
    <w:rsid w:val="009550E1"/>
    <w:rsid w:val="009551CC"/>
    <w:rsid w:val="00955C78"/>
    <w:rsid w:val="00961A59"/>
    <w:rsid w:val="00966B58"/>
    <w:rsid w:val="00971521"/>
    <w:rsid w:val="00972560"/>
    <w:rsid w:val="00980091"/>
    <w:rsid w:val="009807F9"/>
    <w:rsid w:val="009879FD"/>
    <w:rsid w:val="00987FB1"/>
    <w:rsid w:val="00991416"/>
    <w:rsid w:val="009945D8"/>
    <w:rsid w:val="009A1D10"/>
    <w:rsid w:val="009A562C"/>
    <w:rsid w:val="009A58E3"/>
    <w:rsid w:val="009B604F"/>
    <w:rsid w:val="009C107B"/>
    <w:rsid w:val="009C4220"/>
    <w:rsid w:val="009C473B"/>
    <w:rsid w:val="009C5639"/>
    <w:rsid w:val="009C69AC"/>
    <w:rsid w:val="009D3EAB"/>
    <w:rsid w:val="009D48E0"/>
    <w:rsid w:val="009E2A75"/>
    <w:rsid w:val="009E3FF6"/>
    <w:rsid w:val="009E791A"/>
    <w:rsid w:val="009F1FD8"/>
    <w:rsid w:val="009F3134"/>
    <w:rsid w:val="00A02DF5"/>
    <w:rsid w:val="00A05C0F"/>
    <w:rsid w:val="00A12134"/>
    <w:rsid w:val="00A123A7"/>
    <w:rsid w:val="00A13A27"/>
    <w:rsid w:val="00A155C6"/>
    <w:rsid w:val="00A213D5"/>
    <w:rsid w:val="00A242C0"/>
    <w:rsid w:val="00A269D3"/>
    <w:rsid w:val="00A3021D"/>
    <w:rsid w:val="00A30350"/>
    <w:rsid w:val="00A36896"/>
    <w:rsid w:val="00A372EE"/>
    <w:rsid w:val="00A373E2"/>
    <w:rsid w:val="00A50CAB"/>
    <w:rsid w:val="00A52D8C"/>
    <w:rsid w:val="00A55719"/>
    <w:rsid w:val="00A56DF1"/>
    <w:rsid w:val="00A57437"/>
    <w:rsid w:val="00A64203"/>
    <w:rsid w:val="00A67FDA"/>
    <w:rsid w:val="00A7323A"/>
    <w:rsid w:val="00A74975"/>
    <w:rsid w:val="00A7552A"/>
    <w:rsid w:val="00A802B7"/>
    <w:rsid w:val="00A820FB"/>
    <w:rsid w:val="00A821DE"/>
    <w:rsid w:val="00A822AC"/>
    <w:rsid w:val="00A93FDA"/>
    <w:rsid w:val="00A9622C"/>
    <w:rsid w:val="00AB2499"/>
    <w:rsid w:val="00AC3864"/>
    <w:rsid w:val="00AF090E"/>
    <w:rsid w:val="00AF0FA5"/>
    <w:rsid w:val="00AF5221"/>
    <w:rsid w:val="00AF6377"/>
    <w:rsid w:val="00AF7B4E"/>
    <w:rsid w:val="00B00492"/>
    <w:rsid w:val="00B04516"/>
    <w:rsid w:val="00B0713A"/>
    <w:rsid w:val="00B14A05"/>
    <w:rsid w:val="00B157F8"/>
    <w:rsid w:val="00B15A42"/>
    <w:rsid w:val="00B21807"/>
    <w:rsid w:val="00B225C3"/>
    <w:rsid w:val="00B23374"/>
    <w:rsid w:val="00B24D9C"/>
    <w:rsid w:val="00B2608F"/>
    <w:rsid w:val="00B262C5"/>
    <w:rsid w:val="00B308C2"/>
    <w:rsid w:val="00B32011"/>
    <w:rsid w:val="00B34C59"/>
    <w:rsid w:val="00B377B7"/>
    <w:rsid w:val="00B37EA6"/>
    <w:rsid w:val="00B40F8C"/>
    <w:rsid w:val="00B41DD1"/>
    <w:rsid w:val="00B43828"/>
    <w:rsid w:val="00B45972"/>
    <w:rsid w:val="00B478D1"/>
    <w:rsid w:val="00B60364"/>
    <w:rsid w:val="00B61871"/>
    <w:rsid w:val="00B67AA1"/>
    <w:rsid w:val="00B70090"/>
    <w:rsid w:val="00B73D86"/>
    <w:rsid w:val="00B834FA"/>
    <w:rsid w:val="00B83909"/>
    <w:rsid w:val="00B8403F"/>
    <w:rsid w:val="00B84209"/>
    <w:rsid w:val="00B8687A"/>
    <w:rsid w:val="00B972DC"/>
    <w:rsid w:val="00B97642"/>
    <w:rsid w:val="00BA7F12"/>
    <w:rsid w:val="00BB0E1C"/>
    <w:rsid w:val="00BB1A47"/>
    <w:rsid w:val="00BB34E7"/>
    <w:rsid w:val="00BB4BCD"/>
    <w:rsid w:val="00BB5EAB"/>
    <w:rsid w:val="00BB6043"/>
    <w:rsid w:val="00BC1B71"/>
    <w:rsid w:val="00BC2D12"/>
    <w:rsid w:val="00BD5C0E"/>
    <w:rsid w:val="00BD6061"/>
    <w:rsid w:val="00BE2E26"/>
    <w:rsid w:val="00BE5FAE"/>
    <w:rsid w:val="00BE6B9D"/>
    <w:rsid w:val="00BE70AF"/>
    <w:rsid w:val="00BE7FBE"/>
    <w:rsid w:val="00BF4053"/>
    <w:rsid w:val="00BF4545"/>
    <w:rsid w:val="00C00FE7"/>
    <w:rsid w:val="00C01EF0"/>
    <w:rsid w:val="00C06D36"/>
    <w:rsid w:val="00C07C53"/>
    <w:rsid w:val="00C10D1D"/>
    <w:rsid w:val="00C166BF"/>
    <w:rsid w:val="00C17A13"/>
    <w:rsid w:val="00C17FDA"/>
    <w:rsid w:val="00C2454E"/>
    <w:rsid w:val="00C376A1"/>
    <w:rsid w:val="00C47AD5"/>
    <w:rsid w:val="00C52031"/>
    <w:rsid w:val="00C53262"/>
    <w:rsid w:val="00C56376"/>
    <w:rsid w:val="00C63310"/>
    <w:rsid w:val="00C66153"/>
    <w:rsid w:val="00C701FF"/>
    <w:rsid w:val="00C72668"/>
    <w:rsid w:val="00C767FD"/>
    <w:rsid w:val="00C80D2C"/>
    <w:rsid w:val="00C86E76"/>
    <w:rsid w:val="00C91757"/>
    <w:rsid w:val="00CA0434"/>
    <w:rsid w:val="00CA3247"/>
    <w:rsid w:val="00CA360B"/>
    <w:rsid w:val="00CA49A9"/>
    <w:rsid w:val="00CA5830"/>
    <w:rsid w:val="00CB0C92"/>
    <w:rsid w:val="00CB2B6E"/>
    <w:rsid w:val="00CB3E24"/>
    <w:rsid w:val="00CB63CB"/>
    <w:rsid w:val="00CB7373"/>
    <w:rsid w:val="00CC709D"/>
    <w:rsid w:val="00CD17A8"/>
    <w:rsid w:val="00CD3201"/>
    <w:rsid w:val="00CE3409"/>
    <w:rsid w:val="00CE498D"/>
    <w:rsid w:val="00CE4A0D"/>
    <w:rsid w:val="00CF0277"/>
    <w:rsid w:val="00CF535C"/>
    <w:rsid w:val="00CF58FC"/>
    <w:rsid w:val="00CF5D3D"/>
    <w:rsid w:val="00D009BC"/>
    <w:rsid w:val="00D01E1A"/>
    <w:rsid w:val="00D11E08"/>
    <w:rsid w:val="00D14937"/>
    <w:rsid w:val="00D1628E"/>
    <w:rsid w:val="00D17CCE"/>
    <w:rsid w:val="00D20DA3"/>
    <w:rsid w:val="00D24216"/>
    <w:rsid w:val="00D256DA"/>
    <w:rsid w:val="00D25896"/>
    <w:rsid w:val="00D3045E"/>
    <w:rsid w:val="00D30516"/>
    <w:rsid w:val="00D3110E"/>
    <w:rsid w:val="00D4004B"/>
    <w:rsid w:val="00D41B24"/>
    <w:rsid w:val="00D42FEB"/>
    <w:rsid w:val="00D461F9"/>
    <w:rsid w:val="00D5449A"/>
    <w:rsid w:val="00D62E6A"/>
    <w:rsid w:val="00D63DF7"/>
    <w:rsid w:val="00D7265D"/>
    <w:rsid w:val="00D750B2"/>
    <w:rsid w:val="00D751B9"/>
    <w:rsid w:val="00D7527E"/>
    <w:rsid w:val="00D769B6"/>
    <w:rsid w:val="00D823E5"/>
    <w:rsid w:val="00D83F4B"/>
    <w:rsid w:val="00D85347"/>
    <w:rsid w:val="00D870B4"/>
    <w:rsid w:val="00D875D5"/>
    <w:rsid w:val="00D902BA"/>
    <w:rsid w:val="00D95AD2"/>
    <w:rsid w:val="00D95B59"/>
    <w:rsid w:val="00D96F26"/>
    <w:rsid w:val="00DA0B25"/>
    <w:rsid w:val="00DA2FFC"/>
    <w:rsid w:val="00DA67EE"/>
    <w:rsid w:val="00DA6C2E"/>
    <w:rsid w:val="00DB04E4"/>
    <w:rsid w:val="00DB3570"/>
    <w:rsid w:val="00DB5D49"/>
    <w:rsid w:val="00DC2D1C"/>
    <w:rsid w:val="00DC7929"/>
    <w:rsid w:val="00DD0B4B"/>
    <w:rsid w:val="00DD1EFF"/>
    <w:rsid w:val="00DD21ED"/>
    <w:rsid w:val="00DD3452"/>
    <w:rsid w:val="00DD3727"/>
    <w:rsid w:val="00DE1792"/>
    <w:rsid w:val="00DE34D3"/>
    <w:rsid w:val="00DE5C1F"/>
    <w:rsid w:val="00DE77E4"/>
    <w:rsid w:val="00DF082D"/>
    <w:rsid w:val="00DF59DE"/>
    <w:rsid w:val="00E0039B"/>
    <w:rsid w:val="00E0113D"/>
    <w:rsid w:val="00E02329"/>
    <w:rsid w:val="00E0257E"/>
    <w:rsid w:val="00E0717C"/>
    <w:rsid w:val="00E11F08"/>
    <w:rsid w:val="00E12803"/>
    <w:rsid w:val="00E21748"/>
    <w:rsid w:val="00E26503"/>
    <w:rsid w:val="00E365D8"/>
    <w:rsid w:val="00E45FE2"/>
    <w:rsid w:val="00E51F79"/>
    <w:rsid w:val="00E52628"/>
    <w:rsid w:val="00E54027"/>
    <w:rsid w:val="00E60F65"/>
    <w:rsid w:val="00E610BA"/>
    <w:rsid w:val="00E62568"/>
    <w:rsid w:val="00E62614"/>
    <w:rsid w:val="00E66FDA"/>
    <w:rsid w:val="00E72FFC"/>
    <w:rsid w:val="00E74E84"/>
    <w:rsid w:val="00E75A02"/>
    <w:rsid w:val="00E81887"/>
    <w:rsid w:val="00E82D19"/>
    <w:rsid w:val="00E862C6"/>
    <w:rsid w:val="00E87316"/>
    <w:rsid w:val="00E906AD"/>
    <w:rsid w:val="00E92CF3"/>
    <w:rsid w:val="00E94C84"/>
    <w:rsid w:val="00E9612B"/>
    <w:rsid w:val="00EA4726"/>
    <w:rsid w:val="00EA79DA"/>
    <w:rsid w:val="00EB2975"/>
    <w:rsid w:val="00EB6462"/>
    <w:rsid w:val="00EC3D4F"/>
    <w:rsid w:val="00EC7281"/>
    <w:rsid w:val="00EC797E"/>
    <w:rsid w:val="00ED05C3"/>
    <w:rsid w:val="00ED1F98"/>
    <w:rsid w:val="00ED75BC"/>
    <w:rsid w:val="00EE00A2"/>
    <w:rsid w:val="00EE2171"/>
    <w:rsid w:val="00EF0789"/>
    <w:rsid w:val="00EF606A"/>
    <w:rsid w:val="00EF6071"/>
    <w:rsid w:val="00EF7AA1"/>
    <w:rsid w:val="00F00775"/>
    <w:rsid w:val="00F02465"/>
    <w:rsid w:val="00F0687A"/>
    <w:rsid w:val="00F06F12"/>
    <w:rsid w:val="00F11B98"/>
    <w:rsid w:val="00F212BF"/>
    <w:rsid w:val="00F27E86"/>
    <w:rsid w:val="00F308F1"/>
    <w:rsid w:val="00F34707"/>
    <w:rsid w:val="00F435AF"/>
    <w:rsid w:val="00F43655"/>
    <w:rsid w:val="00F44BAE"/>
    <w:rsid w:val="00F514FA"/>
    <w:rsid w:val="00F5203A"/>
    <w:rsid w:val="00F56FDE"/>
    <w:rsid w:val="00F60E9C"/>
    <w:rsid w:val="00F62286"/>
    <w:rsid w:val="00F631DC"/>
    <w:rsid w:val="00F67A2F"/>
    <w:rsid w:val="00F7141C"/>
    <w:rsid w:val="00F72E91"/>
    <w:rsid w:val="00F737C9"/>
    <w:rsid w:val="00F74971"/>
    <w:rsid w:val="00F8024B"/>
    <w:rsid w:val="00F82477"/>
    <w:rsid w:val="00F82C43"/>
    <w:rsid w:val="00F8341B"/>
    <w:rsid w:val="00F86B03"/>
    <w:rsid w:val="00F9481B"/>
    <w:rsid w:val="00F9574A"/>
    <w:rsid w:val="00F97FB5"/>
    <w:rsid w:val="00FA13BA"/>
    <w:rsid w:val="00FA5AE5"/>
    <w:rsid w:val="00FA64F3"/>
    <w:rsid w:val="00FB0C56"/>
    <w:rsid w:val="00FB4357"/>
    <w:rsid w:val="00FB52BC"/>
    <w:rsid w:val="00FB5A28"/>
    <w:rsid w:val="00FB6E1C"/>
    <w:rsid w:val="00FC17FA"/>
    <w:rsid w:val="00FD34C5"/>
    <w:rsid w:val="00FD37A0"/>
    <w:rsid w:val="00FD50B3"/>
    <w:rsid w:val="00FD54EE"/>
    <w:rsid w:val="00FE0A08"/>
    <w:rsid w:val="00FE0CF1"/>
    <w:rsid w:val="00FE1474"/>
    <w:rsid w:val="00FE26B1"/>
    <w:rsid w:val="00FE3876"/>
    <w:rsid w:val="00FE7EEC"/>
    <w:rsid w:val="00FF0718"/>
    <w:rsid w:val="00FF3451"/>
    <w:rsid w:val="00FF3A74"/>
    <w:rsid w:val="00FF610A"/>
    <w:rsid w:val="336A3D5C"/>
    <w:rsid w:val="552F084F"/>
    <w:rsid w:val="72653E41"/>
    <w:rsid w:val="7B7D004B"/>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Followed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A20"/>
    <w:pPr>
      <w:widowControl w:val="0"/>
      <w:spacing w:after="200" w:line="276" w:lineRule="auto"/>
      <w:jc w:val="both"/>
    </w:pPr>
    <w:rPr>
      <w:kern w:val="2"/>
      <w:sz w:val="21"/>
      <w:szCs w:val="22"/>
      <w:lang w:eastAsia="zh-CN"/>
    </w:rPr>
  </w:style>
  <w:style w:type="paragraph" w:styleId="Heading1">
    <w:name w:val="heading 1"/>
    <w:basedOn w:val="Normal"/>
    <w:next w:val="Normal"/>
    <w:link w:val="Heading1Char"/>
    <w:uiPriority w:val="9"/>
    <w:qFormat/>
    <w:rsid w:val="00697A2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697A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697A20"/>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697A20"/>
    <w:pPr>
      <w:jc w:val="left"/>
    </w:pPr>
  </w:style>
  <w:style w:type="paragraph" w:styleId="BalloonText">
    <w:name w:val="Balloon Text"/>
    <w:basedOn w:val="Normal"/>
    <w:link w:val="BalloonTextChar"/>
    <w:uiPriority w:val="99"/>
    <w:semiHidden/>
    <w:unhideWhenUsed/>
    <w:rsid w:val="00697A20"/>
    <w:pPr>
      <w:spacing w:after="0" w:line="240" w:lineRule="auto"/>
    </w:pPr>
    <w:rPr>
      <w:rFonts w:ascii="Tahoma" w:hAnsi="Tahoma" w:cs="Tahoma"/>
      <w:sz w:val="16"/>
      <w:szCs w:val="16"/>
    </w:rPr>
  </w:style>
  <w:style w:type="paragraph" w:styleId="Footer">
    <w:name w:val="footer"/>
    <w:basedOn w:val="Normal"/>
    <w:link w:val="FooterChar"/>
    <w:uiPriority w:val="99"/>
    <w:unhideWhenUsed/>
    <w:rsid w:val="00697A20"/>
    <w:pPr>
      <w:tabs>
        <w:tab w:val="center" w:pos="4153"/>
        <w:tab w:val="right" w:pos="8306"/>
      </w:tabs>
      <w:snapToGrid w:val="0"/>
      <w:jc w:val="left"/>
    </w:pPr>
    <w:rPr>
      <w:sz w:val="18"/>
      <w:szCs w:val="18"/>
    </w:rPr>
  </w:style>
  <w:style w:type="paragraph" w:styleId="Header">
    <w:name w:val="header"/>
    <w:basedOn w:val="Normal"/>
    <w:link w:val="HeaderChar"/>
    <w:uiPriority w:val="99"/>
    <w:unhideWhenUsed/>
    <w:rsid w:val="00697A20"/>
    <w:pPr>
      <w:pBdr>
        <w:bottom w:val="single" w:sz="6" w:space="1" w:color="auto"/>
      </w:pBdr>
      <w:tabs>
        <w:tab w:val="center" w:pos="4153"/>
        <w:tab w:val="right" w:pos="8306"/>
      </w:tabs>
      <w:snapToGrid w:val="0"/>
      <w:jc w:val="center"/>
    </w:pPr>
    <w:rPr>
      <w:sz w:val="18"/>
      <w:szCs w:val="18"/>
    </w:rPr>
  </w:style>
  <w:style w:type="paragraph" w:styleId="FootnoteText">
    <w:name w:val="footnote text"/>
    <w:basedOn w:val="Normal"/>
    <w:link w:val="FootnoteTextChar"/>
    <w:uiPriority w:val="99"/>
    <w:semiHidden/>
    <w:unhideWhenUsed/>
    <w:rsid w:val="00697A20"/>
    <w:pPr>
      <w:spacing w:after="0" w:line="240" w:lineRule="auto"/>
    </w:pPr>
    <w:rPr>
      <w:sz w:val="20"/>
      <w:szCs w:val="20"/>
    </w:rPr>
  </w:style>
  <w:style w:type="paragraph" w:styleId="CommentSubject">
    <w:name w:val="annotation subject"/>
    <w:basedOn w:val="CommentText"/>
    <w:next w:val="CommentText"/>
    <w:link w:val="CommentSubjectChar"/>
    <w:uiPriority w:val="99"/>
    <w:semiHidden/>
    <w:unhideWhenUsed/>
    <w:rsid w:val="00697A20"/>
    <w:rPr>
      <w:b/>
      <w:bCs/>
    </w:rPr>
  </w:style>
  <w:style w:type="table" w:styleId="TableGrid">
    <w:name w:val="Table Grid"/>
    <w:basedOn w:val="TableNormal"/>
    <w:uiPriority w:val="39"/>
    <w:rsid w:val="00697A2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unhideWhenUsed/>
    <w:rsid w:val="00697A20"/>
    <w:rPr>
      <w:color w:val="954F72" w:themeColor="followedHyperlink"/>
      <w:u w:val="single"/>
    </w:rPr>
  </w:style>
  <w:style w:type="character" w:styleId="Hyperlink">
    <w:name w:val="Hyperlink"/>
    <w:basedOn w:val="DefaultParagraphFont"/>
    <w:uiPriority w:val="99"/>
    <w:unhideWhenUsed/>
    <w:qFormat/>
    <w:rsid w:val="00697A20"/>
    <w:rPr>
      <w:color w:val="0563C1" w:themeColor="hyperlink"/>
      <w:u w:val="single"/>
    </w:rPr>
  </w:style>
  <w:style w:type="character" w:styleId="CommentReference">
    <w:name w:val="annotation reference"/>
    <w:basedOn w:val="DefaultParagraphFont"/>
    <w:uiPriority w:val="99"/>
    <w:semiHidden/>
    <w:unhideWhenUsed/>
    <w:rsid w:val="00697A20"/>
    <w:rPr>
      <w:sz w:val="18"/>
      <w:szCs w:val="18"/>
    </w:rPr>
  </w:style>
  <w:style w:type="character" w:styleId="FootnoteReference">
    <w:name w:val="footnote reference"/>
    <w:basedOn w:val="DefaultParagraphFont"/>
    <w:uiPriority w:val="99"/>
    <w:semiHidden/>
    <w:unhideWhenUsed/>
    <w:rsid w:val="00697A20"/>
    <w:rPr>
      <w:vertAlign w:val="superscript"/>
    </w:rPr>
  </w:style>
  <w:style w:type="paragraph" w:styleId="ListParagraph">
    <w:name w:val="List Paragraph"/>
    <w:basedOn w:val="Normal"/>
    <w:uiPriority w:val="34"/>
    <w:qFormat/>
    <w:rsid w:val="00697A20"/>
    <w:pPr>
      <w:ind w:firstLineChars="200" w:firstLine="420"/>
    </w:pPr>
  </w:style>
  <w:style w:type="character" w:customStyle="1" w:styleId="1">
    <w:name w:val="未解析的提及1"/>
    <w:basedOn w:val="DefaultParagraphFont"/>
    <w:uiPriority w:val="99"/>
    <w:unhideWhenUsed/>
    <w:rsid w:val="00697A20"/>
    <w:rPr>
      <w:color w:val="605E5C"/>
      <w:shd w:val="clear" w:color="auto" w:fill="E1DFDD"/>
    </w:rPr>
  </w:style>
  <w:style w:type="character" w:customStyle="1" w:styleId="fontstyle01">
    <w:name w:val="fontstyle01"/>
    <w:basedOn w:val="DefaultParagraphFont"/>
    <w:rsid w:val="00697A20"/>
    <w:rPr>
      <w:rFonts w:ascii="Calibri" w:hAnsi="Calibri" w:cs="Calibri" w:hint="default"/>
      <w:color w:val="000000"/>
      <w:sz w:val="20"/>
      <w:szCs w:val="20"/>
    </w:rPr>
  </w:style>
  <w:style w:type="character" w:customStyle="1" w:styleId="HeaderChar">
    <w:name w:val="Header Char"/>
    <w:basedOn w:val="DefaultParagraphFont"/>
    <w:link w:val="Header"/>
    <w:uiPriority w:val="99"/>
    <w:rsid w:val="00697A20"/>
    <w:rPr>
      <w:sz w:val="18"/>
      <w:szCs w:val="18"/>
    </w:rPr>
  </w:style>
  <w:style w:type="character" w:customStyle="1" w:styleId="FooterChar">
    <w:name w:val="Footer Char"/>
    <w:basedOn w:val="DefaultParagraphFont"/>
    <w:link w:val="Footer"/>
    <w:uiPriority w:val="99"/>
    <w:rsid w:val="00697A20"/>
    <w:rPr>
      <w:sz w:val="18"/>
      <w:szCs w:val="18"/>
    </w:rPr>
  </w:style>
  <w:style w:type="character" w:customStyle="1" w:styleId="Heading1Char">
    <w:name w:val="Heading 1 Char"/>
    <w:basedOn w:val="DefaultParagraphFont"/>
    <w:link w:val="Heading1"/>
    <w:uiPriority w:val="9"/>
    <w:rsid w:val="00697A20"/>
    <w:rPr>
      <w:b/>
      <w:bCs/>
      <w:kern w:val="44"/>
      <w:sz w:val="44"/>
      <w:szCs w:val="44"/>
    </w:rPr>
  </w:style>
  <w:style w:type="character" w:customStyle="1" w:styleId="Heading2Char">
    <w:name w:val="Heading 2 Char"/>
    <w:basedOn w:val="DefaultParagraphFont"/>
    <w:link w:val="Heading2"/>
    <w:uiPriority w:val="9"/>
    <w:rsid w:val="00697A20"/>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97A20"/>
    <w:rPr>
      <w:b/>
      <w:bCs/>
      <w:sz w:val="32"/>
      <w:szCs w:val="32"/>
    </w:rPr>
  </w:style>
  <w:style w:type="character" w:customStyle="1" w:styleId="FootnoteTextChar">
    <w:name w:val="Footnote Text Char"/>
    <w:basedOn w:val="DefaultParagraphFont"/>
    <w:link w:val="FootnoteText"/>
    <w:uiPriority w:val="99"/>
    <w:semiHidden/>
    <w:rsid w:val="00697A20"/>
    <w:rPr>
      <w:kern w:val="2"/>
    </w:rPr>
  </w:style>
  <w:style w:type="character" w:customStyle="1" w:styleId="BalloonTextChar">
    <w:name w:val="Balloon Text Char"/>
    <w:basedOn w:val="DefaultParagraphFont"/>
    <w:link w:val="BalloonText"/>
    <w:uiPriority w:val="99"/>
    <w:semiHidden/>
    <w:rsid w:val="00697A20"/>
    <w:rPr>
      <w:rFonts w:ascii="Tahoma" w:hAnsi="Tahoma" w:cs="Tahoma"/>
      <w:kern w:val="2"/>
      <w:sz w:val="16"/>
      <w:szCs w:val="16"/>
    </w:rPr>
  </w:style>
  <w:style w:type="character" w:customStyle="1" w:styleId="CommentTextChar">
    <w:name w:val="Comment Text Char"/>
    <w:basedOn w:val="DefaultParagraphFont"/>
    <w:link w:val="CommentText"/>
    <w:uiPriority w:val="99"/>
    <w:semiHidden/>
    <w:rsid w:val="00697A20"/>
    <w:rPr>
      <w:kern w:val="2"/>
      <w:sz w:val="21"/>
      <w:szCs w:val="22"/>
    </w:rPr>
  </w:style>
  <w:style w:type="character" w:customStyle="1" w:styleId="CommentSubjectChar">
    <w:name w:val="Comment Subject Char"/>
    <w:basedOn w:val="CommentTextChar"/>
    <w:link w:val="CommentSubject"/>
    <w:uiPriority w:val="99"/>
    <w:semiHidden/>
    <w:rsid w:val="00697A20"/>
    <w:rPr>
      <w:b/>
      <w:bCs/>
      <w:kern w:val="2"/>
      <w:sz w:val="21"/>
      <w:szCs w:val="22"/>
    </w:rPr>
  </w:style>
  <w:style w:type="paragraph" w:customStyle="1" w:styleId="Default">
    <w:name w:val="Default"/>
    <w:rsid w:val="00697A20"/>
    <w:pPr>
      <w:widowControl w:val="0"/>
      <w:autoSpaceDE w:val="0"/>
      <w:autoSpaceDN w:val="0"/>
      <w:adjustRightInd w:val="0"/>
    </w:pPr>
    <w:rPr>
      <w:rFonts w:ascii="SimSun" w:eastAsia="SimSun" w:cs="SimSun"/>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ipim.gov.mo/"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dsec.gov.mo/"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ses.gov.mo/"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fmcoprc.gov.mo/chn/satfygjzz/gjzzygjhy/"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8A398D-5F96-4511-BCB2-3EDA9CC41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7</Pages>
  <Words>817</Words>
  <Characters>4659</Characters>
  <Application>Microsoft Office Word</Application>
  <DocSecurity>0</DocSecurity>
  <Lines>38</Lines>
  <Paragraphs>10</Paragraphs>
  <ScaleCrop>false</ScaleCrop>
  <Company/>
  <LinksUpToDate>false</LinksUpToDate>
  <CharactersWithSpaces>5466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baoying</dc:creator>
  <cp:lastModifiedBy>hmlei</cp:lastModifiedBy>
  <cp:revision>29</cp:revision>
  <dcterms:created xsi:type="dcterms:W3CDTF">2020-04-03T16:50:00Z</dcterms:created>
  <dcterms:modified xsi:type="dcterms:W3CDTF">2020-04-14T06:46:00Z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2052-11.1.0.8751</vt:lpwstr>
  </property>
</Properties>
</file>