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b/>
          <w:bCs/>
        </w:rPr>
        <w:t xml:space="preserve">William Wei</w:t>
      </w:r>
      <w:r>
        <w:rPr>
          <w:b/>
          <w:bCs/>
          <w:vertAlign w:val="superscript"/>
        </w:rPr>
        <w:t xml:space="preserve">1</w:t>
      </w:r>
      <w:r>
        <w:rPr>
          <w:rFonts w:hint="eastAsia"/>
          <w:b/>
          <w:bCs/>
        </w:rPr>
        <w:t xml:space="preserve">，刘岚岚</w:t>
      </w:r>
      <w:r>
        <w:rPr>
          <w:b/>
          <w:bCs/>
          <w:vertAlign w:val="superscript"/>
        </w:rPr>
        <w:t xml:space="preserve">1</w:t>
      </w:r>
    </w:p>
    <w:p>
      <w:pPr>
        <w:pStyle w:val="BodyText"/>
      </w:pPr>
      <w:r>
        <w:rPr>
          <w:rFonts w:hint="eastAsia"/>
        </w:rPr>
        <w:t xml:space="preserve">（1.</w:t>
      </w:r>
      <w:r>
        <w:t xml:space="preserve"> </w:t>
      </w:r>
      <w:r>
        <w:rPr>
          <w:rFonts w:hint="eastAsia"/>
        </w:rPr>
        <w:t xml:space="preserve">空间计算（福建）科技有限公司，福建</w:t>
      </w:r>
      <w:r>
        <w:t xml:space="preserve"> </w:t>
      </w:r>
      <w:r>
        <w:rPr>
          <w:rFonts w:hint="eastAsia"/>
        </w:rPr>
        <w:t xml:space="preserve">福州）</w:t>
      </w:r>
    </w:p>
    <w:p>
      <w:pPr>
        <w:pStyle w:val="BodyText"/>
      </w:pPr>
      <w:r>
        <w:rPr>
          <w:rFonts w:hint="eastAsia"/>
          <w:b/>
          <w:bCs/>
        </w:rPr>
        <w:t xml:space="preserve">通信作者：</w:t>
      </w:r>
      <w:r>
        <w:t xml:space="preserve"> </w:t>
      </w:r>
      <w:r>
        <w:t xml:space="preserve">William </w:t>
      </w:r>
      <w:r>
        <w:rPr>
          <w:rFonts w:hint="eastAsia"/>
        </w:rPr>
        <w:t xml:space="preserve">Wei，weihong_william@icloud.com</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w:t>
      </w:r>
      <w:r>
        <w:t xml:space="preserve"> AI </w:t>
      </w:r>
      <w:r>
        <w:rPr>
          <w:rFonts w:hint="eastAsia"/>
        </w:rPr>
        <w:t xml:space="preserve">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与数据基础；英文稿侧重价值分解与国际比较，本文侧重分时电价形状、承诺合同与连续价格的机制比较及其对中国省级市场设计的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w:t>
      </w:r>
      <w:r>
        <w:t xml:space="preserve"> AI </w:t>
      </w:r>
      <w:r>
        <w:rPr>
          <w:rFonts w:hint="eastAsia"/>
        </w:rPr>
        <w:t xml:space="preserve">负荷零缺电约束。投资成本按</w:t>
      </w:r>
      <w:r>
        <w:t xml:space="preserve"> 5% </w:t>
      </w:r>
      <w:r>
        <w:rPr>
          <w:rFonts w:hint="eastAsia"/>
        </w:rPr>
        <w:t xml:space="preserve">折现率年化并折算到周。模型通过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在孤岛情景、AI</w:t>
      </w:r>
      <w:r>
        <w:t xml:space="preserve"> </w:t>
      </w:r>
      <w:r>
        <w:rPr>
          <w:rFonts w:hint="eastAsia"/>
        </w:rPr>
        <w:t xml:space="preserve">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w:t>
      </w:r>
      <w:r>
        <w:t xml:space="preserve"> AI </w:t>
      </w:r>
      <w:r>
        <w:rPr>
          <w:rFonts w:hint="eastAsia"/>
        </w:rPr>
        <w:t xml:space="preserve">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w:t>
      </w:r>
      <w:r>
        <w:t xml:space="preserve"> </w:t>
      </w:r>
      <w:r>
        <w:rPr>
          <w:rFonts w:hint="eastAsia"/>
        </w:rPr>
        <w:t xml:space="preserve">全部为负，在甘肃</w:t>
      </w:r>
      <w:r>
        <w:t xml:space="preserve"> 10 </w:t>
      </w:r>
      <w:r>
        <w:rPr>
          <w:rFonts w:hint="eastAsia"/>
        </w:rPr>
        <w:t xml:space="preserve">年中</w:t>
      </w:r>
      <w:r>
        <w:t xml:space="preserve"> 9 </w:t>
      </w:r>
      <w:r>
        <w:rPr>
          <w:rFonts w:hint="eastAsia"/>
        </w:rPr>
        <w:t xml:space="preserve">年为负，在贵州</w:t>
      </w:r>
      <w:r>
        <w:t xml:space="preserve"> </w:t>
      </w:r>
      <w:r>
        <w:rPr>
          <w:rFonts w:hint="eastAsia"/>
        </w:rPr>
        <w:t xml:space="preserve">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十个气象年下，孤岛、AI</w:t>
      </w:r>
      <w:r>
        <w:t xml:space="preserve"> </w:t>
      </w:r>
      <w:r>
        <w:rPr>
          <w:rFonts w:hint="eastAsia"/>
        </w:rPr>
        <w:t xml:space="preserve">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让参与市场的算力用户直接面对逐时出清价格形状，比在目录电价上叠加需求响应合同更有效。（4）事件型需求响应合同依赖基线，对可自由调度的算力负荷尤其容易被操纵；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煤电承诺为启发式并在各情景固定；未建模切换、检查点与冷却开销、任务迁移与非预见控制；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全部输入为公开数据，来源、版本、校验值与许可见英文稿补充材料；代码与验证记录将在发表时公开并存档。</w:t>
      </w:r>
    </w:p>
    <w:p>
      <w:pPr>
        <w:pStyle w:val="BodyText"/>
      </w:pPr>
      <w:r>
        <w:rPr>
          <w:rFonts w:hint="eastAsia"/>
          <w:b/>
          <w:bCs/>
        </w:rPr>
        <w:t xml:space="preserve">利益冲突：</w:t>
      </w:r>
      <w:r>
        <w:t xml:space="preserve"> </w:t>
      </w:r>
      <w:r>
        <w:rPr>
          <w:rFonts w:hint="eastAsia"/>
        </w:rPr>
        <w:t xml:space="preserve">作者声明无利益冲突。</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 https://www.ndrc.gov.cn/fzggw/jgsj/gjss/sjdt/202203/t20220321_1319862.html.</w:t>
      </w:r>
      <w:r>
        <w:t xml:space="preserve"> </w:t>
      </w:r>
      <w:r>
        <w:t xml:space="preserve">[2] Colangelo P, et al. AI data centres as grid-interactive assets[J]. Nature Energy, 2026, 11: 254-261.</w:t>
      </w:r>
      <w:r>
        <w:t xml:space="preserve"> </w:t>
      </w:r>
      <w:r>
        <w:t xml:space="preserve">[3] Zhang W, Zavala V M. Remunerating space–time, load-shifting flexibility from data centers in electricity markets[J]. Applied Energy, 2022, 326: 119930.</w:t>
      </w:r>
      <w:r>
        <w:t xml:space="preserve"> </w:t>
      </w:r>
      <w:r>
        <w:t xml:space="preserve">[4] Zheng J, Chien A A, Suh S. Mitigating curtailment and carbon emissions through load migration between data centers[J]. Joule, 2020, 4(10): 2208-2222.</w:t>
      </w:r>
      <w:r>
        <w:t xml:space="preserve"> </w:t>
      </w:r>
      <w:r>
        <w:t xml:space="preserve">[5] Fridgen G, Keller R, Thimmel M, et al. Shifting load through space: the economics of spatial demand side management using distributed data centers[J]. Energy Policy, 2017, 109: 400-413.</w:t>
      </w:r>
      <w:r>
        <w:t xml:space="preserve"> </w:t>
      </w:r>
      <w:r>
        <w:t xml:space="preserve">[6] Senga J R L, Wang S, Knittel C R. Flexible data centers reduce power system costs but can increase emissions[J]. iScience, 2026, 29(7): 116497.</w:t>
      </w:r>
      <w:r>
        <w:t xml:space="preserve"> </w:t>
      </w: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r>
        <w:t xml:space="preserve"> </w:t>
      </w:r>
      <w:r>
        <w:t xml:space="preserve">[8] Dunlap C. Quantifying AI data center flexibility as a resource adequacy asset[EB/OL]. Research Square, 2026. https://www.researchsquare.com/article/rs-9829457/v1.</w:t>
      </w:r>
      <w:r>
        <w:t xml:space="preserve"> </w:t>
      </w:r>
      <w:r>
        <w:t xml:space="preserve">[9] Birahim S A. A net-grid-benefit test for interconnecting AI data centres[J]. npj Environmental Social Sciences, 2026, 1: 8.</w:t>
      </w:r>
      <w:r>
        <w:t xml:space="preserve"> </w:t>
      </w:r>
      <w:r>
        <w:t xml:space="preserve">[10] Chen Y, Zheng X. To defer or to shift? The role of AI data center flexibility on grid interconnection[C]//Proceedings of the 2026 ACM Sustainability Week. New York: ACM, 2026: 322-327.</w:t>
      </w:r>
      <w:r>
        <w:t xml:space="preserve"> </w:t>
      </w:r>
      <w:r>
        <w:t xml:space="preserve">[11] Wei W, Liu L. Efficient modes, not load shifting, deliver most of the grid value of flexible AI computing[J]. </w:t>
      </w:r>
      <w:r>
        <w:rPr>
          <w:rFonts w:hint="eastAsia"/>
        </w:rPr>
        <w:t xml:space="preserve">投稿中,</w:t>
      </w:r>
      <w:r>
        <w:t xml:space="preserve"> 2026.</w:t>
      </w:r>
      <w:r>
        <w:t xml:space="preserve"> </w:t>
      </w:r>
      <w:r>
        <w:t xml:space="preserve">[12] MLCommons. MLPerf Training v4.0 results, including power submissions[EB/OL]. 2024. https://github.com/mlcommons/training_results_v4.0.</w:t>
      </w:r>
      <w:r>
        <w:t xml:space="preserve"> </w:t>
      </w:r>
      <w:r>
        <w:t xml:space="preserve">[13] Hu Q, Sun P, Yan S, et al. Characterization and prediction of deep learning workloads in large-scale GPU datacenters[C]//Proceedings of the International Conference for High Performance Computing, Networking, Storage and Analysis. New York: ACM, 2021: 1-15.</w:t>
      </w:r>
      <w:r>
        <w:t xml:space="preserve"> </w:t>
      </w:r>
      <w:r>
        <w:t xml:space="preserve">[14] Weng Q, Xiao W, Yu Y, et al. MLaaS in the wild: workload analysis and scheduling in large-scale heterogeneous GPU clusters[C]//Proceedings of the 19th USENIX Symposium on Networked Systems Design and Implementation. Berkeley: USENIX, 2022: 945-960.</w:t>
      </w:r>
      <w:r>
        <w:t xml:space="preserve"> </w:t>
      </w:r>
      <w:r>
        <w:t xml:space="preserve">[15] Jeon M, Venkataraman S, Phanishayee A, et al. Analysis of large-scale multi-tenant GPU clusters for DNN training workloads[C]//Proceedings of the USENIX Annual Technical Conference. Berkeley: USENIX, 2019: 947-960.</w:t>
      </w:r>
      <w:r>
        <w:t xml:space="preserve"> </w:t>
      </w:r>
      <w:r>
        <w:t xml:space="preserve">[16] Zhou X. PyPSA-China: V3.0[DS/OL]. Zenodo, 2024. https://doi.org/10.5281/zenodo.13987282.</w:t>
      </w:r>
      <w:r>
        <w:t xml:space="preserve"> </w:t>
      </w:r>
      <w:r>
        <w:t xml:space="preserve">[17] Wu H, Kan X. Hourly electric power load and transmission data at the provincial level in China[DS/OL]. Zenodo, 2023. https://doi.org/10.5281/zenodo.8322210.</w:t>
      </w:r>
      <w:r>
        <w:t xml:space="preserve"> </w:t>
      </w: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r>
        <w:t xml:space="preserve"> </w:t>
      </w: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 https://doi.org/10.5281/zenodo.16810831.</w:t>
      </w:r>
      <w:r>
        <w:t xml:space="preserve"> </w:t>
      </w:r>
      <w:r>
        <w:t xml:space="preserve">[20] Hersbach H, Bell B, Berrisford P, et al. The ERA5 global reanalysis[J]. Quarterly Journal of the Royal Meteorological Society, 2020, 146(730): 1999-2049.</w:t>
      </w:r>
      <w:r>
        <w:t xml:space="preserve"> </w:t>
      </w:r>
      <w:r>
        <w:t xml:space="preserve">[21] Zippenfenig P. Open-Meteo.com weather API[DS/OL]. Zenodo, 2024. https://doi.org/10.5281/zenodo.7970649.</w:t>
      </w:r>
      <w:r>
        <w:t xml:space="preserve"> </w:t>
      </w: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41%，AI</w:t>
      </w:r>
      <w:r>
        <w:t xml:space="preserve"> </w:t>
      </w:r>
      <w:r>
        <w:rPr>
          <w:rFonts w:hint="eastAsia"/>
        </w:rPr>
        <w:t xml:space="preserve">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与协调最优的差距（孤岛，AI</w:t>
      </w:r>
      <w:r>
        <w:t xml:space="preserve"> </w:t>
      </w:r>
      <w:r>
        <w:rPr>
          <w:rFonts w:hint="eastAsia"/>
        </w:rPr>
        <w:t xml:space="preserve">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2026-09-17T01:33:44Z</dcterms:created>
  <dcterms:modified xsi:type="dcterms:W3CDTF">2026-09-17T01:33:44Z</dcterms:modified>
</cp:coreProperties>
</file>

<file path=docProps/custom.xml><?xml version="1.0" encoding="utf-8"?>
<Properties xmlns="http://schemas.openxmlformats.org/officeDocument/2006/custom-properties" xmlns:vt="http://schemas.openxmlformats.org/officeDocument/2006/docPropsVTypes"/>
</file>