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11.2%～25.1%，故不按单位电量比较。“转移价值”定义为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增量成本的比例；“转移价值兑现份额”定义为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10.5281/zenodo.22803800，指向最新版本；本文对应版本标签</w:t>
      </w:r>
      <w:r>
        <w:t xml:space="preserve"> </w:t>
      </w:r>
      <w:r>
        <w:rPr>
          <w:rFonts w:hint="eastAsia"/>
        </w:rPr>
        <w:t xml:space="preserve">v1.0.3）。</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人工智能专业硕士研究生，利兹大学工程与物理科学学部计算机科学学院、空间计算（福建）科技有限公司，qkfp0742@leeds.ac.uk；刘岚岚（1998—），女，公共管理专业硕士研究生，福建师范大学公共管理学院。</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https://doi.org/10.21203/rs.3.rs-9829457/v1.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computing[Z/OL]. Zenodo, 2026[2026-09-17]. https://doi.org/10.5281/zenodo.22804268. </w:t>
      </w:r>
      <w:r>
        <w:rPr>
          <w:rFonts w:hint="eastAsia"/>
        </w:rPr>
        <w:t xml:space="preserve">已投稿</w:t>
      </w:r>
      <w:r>
        <w:t xml:space="preserve"> Nature </w:t>
      </w:r>
      <w:r>
        <w:rPr>
          <w:rFonts w:hint="eastAsia"/>
        </w:rPr>
        <w:t xml:space="preserve">Energy，稿件编号</w:t>
      </w:r>
      <w:r>
        <w:t xml:space="preserve"> </w:t>
      </w:r>
      <w:r>
        <w:rPr>
          <w:rFonts w:hint="eastAsia"/>
        </w:rPr>
        <w:t xml:space="preserve">NENERGY-26093649，审稿中.</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2026-09-17T05:53:11Z</dcterms:created>
  <dcterms:modified xsi:type="dcterms:W3CDTF">2026-09-17T05:53:11Z</dcterms:modified>
</cp:coreProperties>
</file>

<file path=docProps/custom.xml><?xml version="1.0" encoding="utf-8"?>
<Properties xmlns="http://schemas.openxmlformats.org/officeDocument/2006/custom-properties" xmlns:vt="http://schemas.openxmlformats.org/officeDocument/2006/docPropsVTypes"/>
</file>