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supplementary-information"/>
    <w:p>
      <w:pPr>
        <w:pStyle w:val="Heading1"/>
      </w:pPr>
      <w:r>
        <w:t xml:space="preserve">Supplementary Information</w:t>
      </w:r>
    </w:p>
    <w:p>
      <w:pPr>
        <w:pStyle w:val="FirstParagraph"/>
      </w:pPr>
      <w:r>
        <w:rPr>
          <w:b/>
          <w:bCs/>
        </w:rPr>
        <w:t xml:space="preserve">Efficient modes, not load shifting, deliver most of the grid value of flexible AI computing</w:t>
      </w:r>
    </w:p>
    <w:p>
      <w:pPr>
        <w:pStyle w:val="BodyText"/>
      </w:pPr>
      <w:r>
        <w:t xml:space="preserve">William Wei</w:t>
      </w:r>
      <w:r>
        <w:rPr>
          <w:vertAlign w:val="superscript"/>
        </w:rPr>
        <w:t xml:space="preserve">1,2,*</w:t>
      </w:r>
      <w:r>
        <w:t xml:space="preserve">, Lanlan Liu </w:t>
      </w:r>
      <w:r>
        <w:rPr>
          <w:rFonts w:hint="eastAsia"/>
        </w:rPr>
        <w:t xml:space="preserve">(刘岚岚)</w:t>
      </w:r>
      <w:r>
        <w:rPr>
          <w:vertAlign w:val="superscript"/>
        </w:rPr>
        <w:t xml:space="preserve">3</w:t>
      </w:r>
      <w:r>
        <w:t xml:space="preserve"> </w:t>
      </w:r>
      <w:r>
        <w:t xml:space="preserve">—</w:t>
      </w:r>
      <w:r>
        <w:t xml:space="preserve"> </w:t>
      </w:r>
      <w:r>
        <w:rPr>
          <w:vertAlign w:val="superscript"/>
        </w:rPr>
        <w:t xml:space="preserve">1</w:t>
      </w:r>
      <w:r>
        <w:t xml:space="preserve"> </w:t>
      </w:r>
      <w:r>
        <w:t xml:space="preserve">School of Computer Science, Faculty of Engineering and Physical Sciences, University of Leeds, Leeds, UK;</w:t>
      </w:r>
      <w:r>
        <w:t xml:space="preserve"> </w:t>
      </w:r>
      <w:r>
        <w:rPr>
          <w:vertAlign w:val="superscript"/>
        </w:rPr>
        <w:t xml:space="preserve">2</w:t>
      </w:r>
      <w:r>
        <w:t xml:space="preserve"> </w:t>
      </w:r>
      <w:r>
        <w:t xml:space="preserve">Spatial Computing (Fujian) Technology Co., Ltd., Fuzhou, China;</w:t>
      </w:r>
      <w:r>
        <w:t xml:space="preserve"> </w:t>
      </w:r>
      <w:r>
        <w:rPr>
          <w:vertAlign w:val="superscript"/>
        </w:rPr>
        <w:t xml:space="preserve">3</w:t>
      </w:r>
      <w:r>
        <w:t xml:space="preserve"> </w:t>
      </w:r>
      <w:r>
        <w:t xml:space="preserve">School of Public Administration, Fujian Normal University, Fuzhou, China; * qkfp0742@leeds.ac.uk</w:t>
      </w:r>
    </w:p>
    <w:p>
      <w:pPr>
        <w:pStyle w:val="BodyText"/>
      </w:pPr>
      <w:r>
        <w:t xml:space="preserve">Supplementary Information v1.4, 17 September 2026. Base case: idle power 41% of nameplate; 25% is a sensitivity. Metric: total incremental system cost for the same computing work (EUR per representative week, expected over four weeks); reductions are relative to rigid full-speed operation (S0); shifting value is (cost S0e − cost S2)/cost S2. Full-precision, machine-readable versions of every table are provided as Supplementary Data 1 (spreadsheet, one sheet per table) and in the code repository under</w:t>
      </w:r>
      <w:r>
        <w:t xml:space="preserve"> </w:t>
      </w:r>
      <w:r>
        <w:rPr>
          <w:rStyle w:val="VerbatimChar"/>
        </w:rPr>
        <w:t xml:space="preserve">outputs/research/tables/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Column key (Tables S7–S12).</w:t>
      </w:r>
      <w:r>
        <w:t xml:space="preserve"> </w:t>
      </w:r>
      <w:r>
        <w:rPr>
          <w:rStyle w:val="VerbatimChar"/>
        </w:rPr>
        <w:t xml:space="preserve">cost_X</w:t>
      </w:r>
      <w:r>
        <w:t xml:space="preserve">: incremental system cost under scenario X, i.e. total expected system cost with the AI pool minus that without it (EUR per representative week).</w:t>
      </w:r>
      <w:r>
        <w:t xml:space="preserve"> </w:t>
      </w:r>
      <w:r>
        <w:rPr>
          <w:rStyle w:val="VerbatimChar"/>
        </w:rPr>
        <w:t xml:space="preserve">red_A_B_pct</w:t>
      </w:r>
      <w:r>
        <w:t xml:space="preserve"> </w:t>
      </w:r>
      <w:r>
        <w:t xml:space="preserve">= (1 − cost B / cost A) × 100.</w:t>
      </w:r>
      <w:r>
        <w:t xml:space="preserve"> </w:t>
      </w:r>
      <w:r>
        <w:rPr>
          <w:rStyle w:val="VerbatimChar"/>
        </w:rPr>
        <w:t xml:space="preserve">gap_A_B_pct</w:t>
      </w:r>
      <w:r>
        <w:t xml:space="preserve"> </w:t>
      </w:r>
      <w:r>
        <w:t xml:space="preserve">= (cost A / cost B − 1) × 100.</w:t>
      </w:r>
      <w:r>
        <w:t xml:space="preserve"> </w:t>
      </w:r>
      <w:r>
        <w:rPr>
          <w:rStyle w:val="VerbatimChar"/>
        </w:rPr>
        <w:t xml:space="preserve">share_S1</w:t>
      </w:r>
      <w:r>
        <w:t xml:space="preserve"> </w:t>
      </w:r>
      <w:r>
        <w:t xml:space="preserve">= (cost S0 − cost S1)/(cost S0 − cost S2), the share of total coordination value captured by the tariff-driven firm.</w:t>
      </w:r>
      <w:r>
        <w:t xml:space="preserve"> </w:t>
      </w:r>
      <w:r>
        <w:rPr>
          <w:rStyle w:val="VerbatimChar"/>
        </w:rPr>
        <w:t xml:space="preserve">timing_share_X</w:t>
      </w:r>
      <w:r>
        <w:t xml:space="preserve"> </w:t>
      </w:r>
      <w:r>
        <w:t xml:space="preserve">= (cost S0e − cost X)/(cost S0e − cost S2), the share of shifting value realised by scenario X (negative when shifting raises cost above no-shifting operation).</w:t>
      </w:r>
      <w:r>
        <w:t xml:space="preserve"> </w:t>
      </w:r>
      <w:r>
        <w:rPr>
          <w:rStyle w:val="VerbatimChar"/>
        </w:rPr>
        <w:t xml:space="preserve">ai_mwh_X</w:t>
      </w:r>
      <w:r>
        <w:t xml:space="preserve">: AI pool energy under scenario X (MWh per representative week).</w:t>
      </w:r>
      <w:r>
        <w:t xml:space="preserve"> </w:t>
      </w:r>
      <w:r>
        <w:rPr>
          <w:rStyle w:val="VerbatimChar"/>
        </w:rPr>
        <w:t xml:space="preserve">new_ocgt_X</w:t>
      </w:r>
      <w:r>
        <w:t xml:space="preserve">,</w:t>
      </w:r>
      <w:r>
        <w:t xml:space="preserve"> </w:t>
      </w:r>
      <w:r>
        <w:rPr>
          <w:rStyle w:val="VerbatimChar"/>
        </w:rPr>
        <w:t xml:space="preserve">new_batt_X</w:t>
      </w:r>
      <w:r>
        <w:t xml:space="preserve">: new open-cycle gas-turbine and battery capacity (MW) relative to the reference without AI.</w:t>
      </w:r>
      <w:r>
        <w:t xml:space="preserve"> </w:t>
      </w:r>
      <w:r>
        <w:rPr>
          <w:rStyle w:val="VerbatimChar"/>
        </w:rPr>
        <w:t xml:space="preserve">curtail_NOAI</w:t>
      </w:r>
      <w:r>
        <w:t xml:space="preserve">: curtailment share in the reference without AI.</w:t>
      </w:r>
      <w:r>
        <w:t xml:space="preserve"> </w:t>
      </w:r>
      <w:r>
        <w:rPr>
          <w:rStyle w:val="VerbatimChar"/>
        </w:rPr>
        <w:t xml:space="preserve">idle</w:t>
      </w:r>
      <w:r>
        <w:t xml:space="preserve">: idle power as a fraction of nameplate.</w:t>
      </w:r>
      <w:r>
        <w:t xml:space="preserve"> </w:t>
      </w:r>
      <w:r>
        <w:rPr>
          <w:rStyle w:val="VerbatimChar"/>
        </w:rPr>
        <w:t xml:space="preserve">ai_share</w:t>
      </w:r>
      <w:r>
        <w:t xml:space="preserve">: AI pool as a share of the 2030 provincial peak;</w:t>
      </w:r>
      <w:r>
        <w:t xml:space="preserve"> </w:t>
      </w:r>
      <w:r>
        <w:rPr>
          <w:rStyle w:val="VerbatimChar"/>
        </w:rPr>
        <w:t xml:space="preserve">slack_mult</w:t>
      </w:r>
      <w:r>
        <w:t xml:space="preserve">: multiplier on observed queueing wait in the deadline (1 or 3);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: interprovincial exchange allowed. In Table S12,</w:t>
      </w:r>
      <w:r>
        <w:t xml:space="preserve"> </w:t>
      </w:r>
      <w:r>
        <w:rPr>
          <w:rStyle w:val="VerbatimChar"/>
        </w:rPr>
        <w:t xml:space="preserve">system_cost_X</w:t>
      </w:r>
      <w:r>
        <w:t xml:space="preserve"> </w:t>
      </w:r>
      <w:r>
        <w:t xml:space="preserve">is the total system cost and savings are in EUR per representative week.</w:t>
      </w:r>
    </w:p>
    <w:bookmarkStart w:id="9" w:name="s1.-data-registry"/>
    <w:p>
      <w:pPr>
        <w:pStyle w:val="Heading2"/>
      </w:pPr>
      <w:r>
        <w:t xml:space="preserve">S1. Data registry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"/>
        <w:gridCol w:w="1257"/>
        <w:gridCol w:w="1118"/>
        <w:gridCol w:w="854"/>
        <w:gridCol w:w="980"/>
        <w:gridCol w:w="1056"/>
        <w:gridCol w:w="25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Emerald AI May 2025 experiment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https://github.com/ai-emerald/emerald-ai-demo-may-2025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published_experimental_data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 repository licence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downloaded_reanalysed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GPU-only modes; timestamp/aggregate conflicts; no independent repeated runs or complete service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 2018 provincial hourly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https://doi.org/10.5281/zenodo.8322210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reconstructed_historical_load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checksums_verified_column_mapping_verified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daily-extrema typical-profile reconstruction; not current metered 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 interprovincial transmission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https://doi.org/10.5281/zenodo.8322210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compiled_infrastructure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quarantined_pending_asset_checks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 classifications reversed vs appendix; 3 matrix/list edge conflicts; aliases and endpoints unresolved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PyPSA-China model and assumptions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https://github.com/PyPSA/PyPSA-China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code_and_derived_inputs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code; per-input licences need checking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repository_downloaded_load_provenance_traced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shares historical origin with D02; not independent validation; default future load scaled shape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Dunlap capacity-adequacy source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https://github.com/ctdunlap32/data-center-flexibility-resource-adequacy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author_code_manuscript_processed_inputs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code; upstream data licences separate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method_inspected_not_reproduced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exogenous ELCC and partially unobserved assumptions; author manuscript is not Nature publication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LLM inference trace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https://github.com/Azure/AzurePublicDataset/blob/master/AzureLLMInferenceDataset2024.md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production_request_metadata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schema_license_release_sizes_inspected_not_downloaded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invocation and token lengths only; no deadlines or GPU power; code 692 MB, conversation 1135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Two-block diagnostic 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analyst_assumptions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implemented_verified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production workloads or grid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Sequential-task diagnostic 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analyst_assumptions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implemented_verified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 arrivals; assumed deadline and idle power; no grid or switching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BurstGPT release v2.0 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https://github.com/HPMLL/BurstGPT/releases/tag/v2.0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production_request_metadata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download_digest_verified_schema_and_hourly_audit_complete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deadlines, elapsed time, request IDs or power; retain repeated metadata and zero-output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PyPSA-China V3.0 selected archive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https://doi.org/10.5281/zenodo.13987282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published_model_inputs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CC-BY-4.0 record; verify upstream embedded sources before redistribution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member_crc_size_verified_and_inputs_audited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calibrated base year; source-model totals and official statistics differ; hydro leapday missing; reservoir subsystem separate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 national power reliability annual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https://prpq.nea.gov.cn/uploads/file1/20211009/616107fe94a8e.pdf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official_aggregate_reliability_statistics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official report; reuse facts with attribution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PDF_obtained_three_tables_extracted_with_sum_checks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chronological outage telemetry; unplanned/forced/availability metrics differ; unit-year exposure definitions require checking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DynamoLLM HPCA 2025 published experiment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https://jovans2.github.io/files/DynamoLLM_HPCA2025.pdf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published_experimental_methods_and_aggregate_tables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author-hosted paper; numeric facts attributed; no PDF redistribution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PDF_obtained_tables_and_methods_inspected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power/performance profiling dataset not obtained; cannot treat example SLOs as BurstGPT observed deadlines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commitment operational cost 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analyst_assumptions_with_measured_modes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implemented_analytic_dual_and_convexity_checks_passed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assumed tariffs, arrivals, deadlines, idle power; no observed company costs or grid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 Global Integrated Power Tracker July 2025 China subset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https://doi.org/10.5281/zenodo.16810831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compiled_unit_phase_inventory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CC-BY-4.0 confirmed About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download_checksum_verified_unit_ID_and_date_completeness_audited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tracking thresholds, unknown dates, conversions and historical retired coverage require reconciliation; not complete official historical fleet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Alibaba PAI GPU cluster trace 2020 (NSDI 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https://github.com/alibaba/clusterdata/tree/master/cluster-trace-gpu-v2020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production_job_task_instance_metadata_and_instance_average_sensors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CC-BY-4.0 (repository LICENSE)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downloaded_extracted_sha256_recorded_audit_complete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deadlines, no power; plan_gpu is requested not used; wait = scheduling latency only; dates fake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SenseTime Helios GPU cluster traces (SC 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https://github.com/S-Lab-System-Group/HeliosData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production_slurm_job_metadata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LICENSE.txt in release (Apache-2.0 text)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downloaded_sha256_verified_audit_complete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power or utilisation; queue is observed scheduling wait not a deadline; 39% of GPU-hours in CANCELLED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Philly DL training trace (ATC 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https://github.com/msr-fiddle/philly-traces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production_job_log_and_per_minute_gpu_utilisation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CC-BY-4.0 (repository LICENSE)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downloaded_via_lfs_sha256_recorded_job_log_and_streamed_utilisation_audit_complete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 hardware; per-GPU per-minute utilisation with variable columns (DST duplicate rows truncated to first 8 values); 68% of GPU-hours in Failed/Killed jobs; no deadlines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selection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screening_table_from_archive_and_official_inputs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 capacities unverified; Gansu large hydro absent from archive; Inner Mongolia grid split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S0/S0b/S1/S2 smoke 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uncalibrated_regional_smoke_test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pipeline_verified_results_not_empirical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unvalidated hourly load shape; archive capacities; placeholder tariff and external market; no unit commitment or coal minimum 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Jiangsu grid 2020-2022 T&amp;D and retail tariff notice </w:t>
            </w:r>
            <w:r>
              <w:rPr>
                <w:rFonts w:hint="eastAsia"/>
              </w:rPr>
              <w:t xml:space="preserve">(苏发改价格发〔2020〕1183号)</w:t>
            </w:r>
            <w:r>
              <w:t xml:space="preserve"> incl. industrial TOU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https://www.njqxq.gov.cn/qxqrmzf/qxqfzhggj/202011/P020201111396651530459.pdf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official_tariff_document_scanned_pdf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government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pdf_saved_pages_read_values_transcribed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scanned images, transcribed by reading; 2021 effective date used for 2020 base year; market users pay market price + T&amp;D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Gansu 2020-12 notice on retail tariff adjustment and TOU optimisation (policy interpretation page)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http://www.gansu.gov.cn/art/2020/12/3/art_10359_474921.html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official_policy_interpretation_web_page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government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mirror_page_fetched_values_transcribed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gansu.gov.cn page returned HTTP 412 to fetch; mirror gsei.com.cn used; ratios not absolute prices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Guizhou TOU mechanism notice </w:t>
            </w:r>
            <w:r>
              <w:rPr>
                <w:rFonts w:hint="eastAsia"/>
              </w:rPr>
              <w:t xml:space="preserve">黔发改价格〔2023〕481号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https://fgw.guizhou.gov.cn/zwgk/zcwj/zcwj/202306/t20230628_80566840.html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official_notice_web_page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government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page_fetched_values_transcribed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rules used as nearest official structure; no 2020 Guizhou TOU document obtained; year mismatch flagged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GEM-based unit-level 2020/2030 fleets for Gansu, Jiangsu, 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analysis of D11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derived_unit_inventory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CC-BY-4.0 upstream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built_compared_with_archive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 size thresholds (lower bound vs official); unknown start years excluded; pre-construction listed separately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Provincial 2030 S0/S1/S2/S3 scenario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public_data_scenario_with_documented_assumptions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pipeline_run_results_labelled_scenario_not_calibrated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hourly load shape unvalidated (2018-derived); external-market proxy; committed-capacity must-run heuristic; RE existing = 2020 archive; no new coal; S3 event rule = &gt;20% above weekly median marginal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MLPerf Training v4.0 AC power logs (Supermicro 8xH100, llama2_70b_lora)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https://github.com/mlcommons/training_results_v4.0/tree/main/smc-ac-power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published_benchmark_power_measurements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MLCommons results repository (Apache-2.0)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downloaded_parsed_idle_active_extracted_three_benchmarks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node-level incl. non-GPU components; benchmark workloads; one run per benchmark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Open-Meteo historical weather API (ERA5-based) hourly 2015-2024 at GEM wind/solar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https://archive-api.open-meteo.com/v1/archive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reanalysis_weather_free_api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 4.0 (Open-Meteo; ERA5 Copernicus)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pulled_cached_converted_to_capacity_factors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power-curve and GHI conversions; level scaled to archive 2020 mean; not measured generation</w:t>
            </w:r>
          </w:p>
        </w:tc>
      </w:tr>
    </w:tbl>
    <w:bookmarkEnd w:id="9"/>
    <w:bookmarkStart w:id="10" w:name="s2.-model-verification-records"/>
    <w:p>
      <w:pPr>
        <w:pStyle w:val="Heading2"/>
      </w:pPr>
      <w:r>
        <w:t xml:space="preserve">S2. Model verification records</w:t>
      </w:r>
    </w:p>
    <w:p>
      <w:pPr>
        <w:pStyle w:val="FirstParagraph"/>
      </w:pPr>
      <w:r>
        <w:t xml:space="preserve">Joint planning–operation LP: 118 checks in total, of which 100 are independent oracle cases (60 screening-curve capacity cases, 40 enumerated task-assignment cases); reservoir-cascade extension: 74 checks, of which 60 are independent dynamic-programming cases; task model: 120 exhaustive assignment oracles and 256 diagnostic cases; commitment-cost model: 72 frontiers, 360 points, dual and finite-difference checks.</w:t>
      </w:r>
    </w:p>
    <w:bookmarkEnd w:id="10"/>
    <w:bookmarkStart w:id="11" w:name="X753aa608b25a1ed27e0505aa7c7ff352abdd040"/>
    <w:p>
      <w:pPr>
        <w:pStyle w:val="Heading2"/>
      </w:pPr>
      <w:r>
        <w:t xml:space="preserve">S3. MLPerf Training v4.0 node power (8×H100 nodes)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8"/>
        <w:gridCol w:w="925"/>
        <w:gridCol w:w="1131"/>
        <w:gridCol w:w="1337"/>
        <w:gridCol w:w="1028"/>
        <w:gridCol w:w="174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benchmark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idle_kW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active_kW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max_kW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idle_over_max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llama2_70b_lora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</w:t>
            </w:r>
          </w:p>
        </w:tc>
      </w:tr>
    </w:tbl>
    <w:bookmarkEnd w:id="11"/>
    <w:bookmarkStart w:id="12" w:name="Xf3a022659354e1b85eab73bae1641914dc3d701"/>
    <w:p>
      <w:pPr>
        <w:pStyle w:val="Heading2"/>
      </w:pPr>
      <w:r>
        <w:t xml:space="preserve">S4. GEM-based 2020 and 2030 fleets, three provinces (MW)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3"/>
        <w:gridCol w:w="683"/>
        <w:gridCol w:w="626"/>
        <w:gridCol w:w="797"/>
        <w:gridCol w:w="2222"/>
        <w:gridCol w:w="797"/>
        <w:gridCol w:w="21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mw_2020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units_2020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mw_2030_operating_plus_construction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units_2030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mw_2030_preconstruction_announced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oil/gas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nuclear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hydropower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12798.4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28451.6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8632.1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24919.9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oil/gas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nuclear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hydropower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13261.2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21955.2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9303.6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oil/gas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nuclear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hydropower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6626.1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21149.5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12"/>
    <w:bookmarkStart w:id="13" w:name="s5.-peak-load-plausibility-check"/>
    <w:p>
      <w:pPr>
        <w:pStyle w:val="Heading2"/>
      </w:pPr>
      <w:r>
        <w:t xml:space="preserve">S5. Peak-load plausibility check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1"/>
        <w:gridCol w:w="961"/>
        <w:gridCol w:w="2229"/>
        <w:gridCol w:w="845"/>
        <w:gridCol w:w="34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anchored_2020_peak_MW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official_reference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reference_value_MW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109,828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 </w:t>
            </w:r>
            <w:r>
              <w:rPr>
                <w:rFonts w:hint="eastAsia"/>
              </w:rPr>
              <w:t xml:space="preserve">年夏季与冬季最高调度负荷均突破</w:t>
            </w:r>
            <w:r>
              <w:t xml:space="preserve"> 1 </w:t>
            </w:r>
            <w:r>
              <w:rPr>
                <w:rFonts w:hint="eastAsia"/>
              </w:rPr>
              <w:t xml:space="preserve">亿千瓦（国网江苏，2021-01</w:t>
            </w:r>
            <w:r>
              <w:t xml:space="preserve"> </w:t>
            </w:r>
            <w:r>
              <w:rPr>
                <w:rFonts w:hint="eastAsia"/>
              </w:rPr>
              <w:t xml:space="preserve">报道）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in magnitude; exact value not obtained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 </w:t>
            </w:r>
            <w:r>
              <w:rPr>
                <w:rFonts w:hint="eastAsia"/>
              </w:rPr>
              <w:t xml:space="preserve">年全网最大用电负荷</w:t>
            </w:r>
            <w:r>
              <w:t xml:space="preserve"> 1766 </w:t>
            </w:r>
            <w:r>
              <w:rPr>
                <w:rFonts w:hint="eastAsia"/>
              </w:rPr>
              <w:t xml:space="preserve">万千瓦（北极星电力网转载）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anchored 2020 peak exceeds 2021 official peak by ~11%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31255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贵州电网统调负荷</w:t>
            </w:r>
            <w:r>
              <w:t xml:space="preserve"> 2026-01 </w:t>
            </w:r>
            <w:r>
              <w:rPr>
                <w:rFonts w:hint="eastAsia"/>
              </w:rPr>
              <w:t xml:space="preserve">首次突破</w:t>
            </w:r>
            <w:r>
              <w:t xml:space="preserve"> 3000 </w:t>
            </w:r>
            <w:r>
              <w:rPr>
                <w:rFonts w:hint="eastAsia"/>
              </w:rPr>
              <w:t xml:space="preserve">万千瓦（央广网）；2025</w:t>
            </w:r>
            <w:r>
              <w:t xml:space="preserve"> </w:t>
            </w:r>
            <w:r>
              <w:rPr>
                <w:rFonts w:hint="eastAsia"/>
              </w:rPr>
              <w:t xml:space="preserve">年底最高</w:t>
            </w:r>
            <w:r>
              <w:t xml:space="preserve"> 2955.3 </w:t>
            </w:r>
            <w:r>
              <w:rPr>
                <w:rFonts w:hint="eastAsia"/>
              </w:rPr>
              <w:t xml:space="preserve">万千瓦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&lt;30000 in 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anchored 2020 peak exceeds the 2026 record; 2020 peak must have been well below 31.3 GW</w:t>
            </w:r>
          </w:p>
        </w:tc>
      </w:tr>
    </w:tbl>
    <w:bookmarkEnd w:id="13"/>
    <w:bookmarkStart w:id="14" w:name="X140abc3307e0323e07487c6faa8c523c6e086e5"/>
    <w:p>
      <w:pPr>
        <w:pStyle w:val="Heading2"/>
      </w:pPr>
      <w:r>
        <w:t xml:space="preserve">S6. Multi-year renewable profiles: site coverage and agreement with archive 2020 profiles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70"/>
        <w:gridCol w:w="1120"/>
        <w:gridCol w:w="1942"/>
        <w:gridCol w:w="2017"/>
        <w:gridCol w:w="156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province_tech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level_scale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corr_with_archive_2020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top_site_capacity_share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n_operating_sites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 / solar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 / wind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 / solar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 / wind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 / solar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 / wind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</w:t>
            </w:r>
          </w:p>
        </w:tc>
      </w:tr>
    </w:tbl>
    <w:bookmarkEnd w:id="14"/>
    <w:bookmarkStart w:id="18" w:name="X6b0a0bb4d36e71d3fa5abc46c1743d361e2326f"/>
    <w:p>
      <w:pPr>
        <w:pStyle w:val="Heading2"/>
      </w:pPr>
      <w:r>
        <w:t xml:space="preserve">S7. 2030 scenario results, islanded (export = False) and fixed-price exchange proxy (export = True), idle 41%</w:t>
      </w:r>
    </w:p>
    <w:bookmarkStart w:id="15" w:name="Xf4d021b5be7c5660a5e1e043bdf6917ffbe3e7d"/>
    <w:p>
      <w:pPr>
        <w:pStyle w:val="Heading3"/>
      </w:pPr>
      <w:r>
        <w:t xml:space="preserve">S7a. Incremental system cost by scenario (EUR per representative week)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628"/>
        <w:gridCol w:w="754"/>
        <w:gridCol w:w="880"/>
        <w:gridCol w:w="817"/>
        <w:gridCol w:w="817"/>
        <w:gridCol w:w="817"/>
        <w:gridCol w:w="817"/>
        <w:gridCol w:w="817"/>
        <w:gridCol w:w="8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ai_share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slack_mult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cost_S0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cost_S0e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cost_S1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cost_S3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cost_S1rt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cost_S2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4,716,346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4,081,179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4,101,238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4,101,238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4,077,055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4,075,821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4,716,346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3,757,311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3,781,838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3,781,838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3,753,656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3,753,117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9,391,522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8,113,527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8,157,286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8,157,286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8,110,767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8,106,916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9,391,522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7,461,038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7,510,092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7,510,092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7,459,868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7,453,211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18,494,780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15,929,656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16,017,524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16,017,524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15,924,103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15,917,783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18,494,780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14,606,454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14,705,016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14,705,016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14,604,649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14,592,950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5,093,788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4,419,542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4,439,700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4,439,700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4,416,253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4,416,168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5,093,788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4,070,916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4,095,626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4,095,626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4,068,188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4,068,156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10,184,505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8,834,452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8,875,171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8,875,171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8,828,409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8,828,313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10,184,505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8,137,469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8,185,936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8,185,936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8,131,902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8,131,208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20,352,157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17,651,024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17,731,532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17,731,532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17,638,367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17,638,290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20,352,157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16,258,282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16,352,857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16,352,857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16,244,905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16,244,482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6,406,987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5,585,695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5,557,422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5,578,925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5,517,965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5,503,164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6,406,987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5,131,669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5,136,342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5,155,081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5,066,188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5,056,744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12,737,351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10,999,516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10,959,127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10,962,125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10,882,236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10,850,800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12,737,351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10,074,534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10,089,706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10,118,625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9,972,867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9,937,528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25,007,943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21,243,656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21,221,539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21,221,539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21,120,171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20,999,481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25,007,943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19,339,271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19,366,970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19,582,761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19,233,822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19,087,095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8,264,055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7,163,267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7,198,604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7,198,604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7,159,400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7,159,202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8,264,055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6,598,262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6,625,980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6,625,980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6,594,357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6,594,258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16,384,621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14,191,353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14,265,554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14,265,554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14,186,077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14,185,069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16,384,621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13,065,919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13,125,223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13,125,223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13,061,256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13,060,137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32,220,264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27,863,288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28,028,551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28,028,551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27,861,604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27,858,980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32,220,264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25,621,877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25,755,850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25,755,850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25,621,578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25,619,232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28,905,044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24,712,571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24,779,466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24,772,013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24,610,641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24,597,050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28,905,044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22,667,442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22,680,700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22,680,700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22,517,787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22,504,657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60,564,006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51,315,483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51,448,812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51,744,240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51,168,598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51,100,438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60,564,006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46,798,303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46,744,502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46,734,867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46,464,921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46,404,857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140,005,403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116,358,518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118,347,943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118,850,619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113,102,184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111,481,799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140,005,403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101,190,396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101,560,918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101,615,317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102,603,733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100,048,295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26,801,003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23,195,195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23,319,371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23,319,371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23,183,959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23,181,802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26,801,003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21,354,049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21,452,284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21,452,284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21,337,164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21,335,366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54,086,719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46,771,340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47,027,907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47,027,907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46,752,940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46,745,368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54,086,719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43,018,531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43,217,892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43,217,892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42,981,138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42,973,250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109,499,873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94,653,841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95,205,981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95,205,981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94,633,015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94,623,243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109,499,873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87,007,025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87,445,255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87,445,255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86,982,402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86,969,565</w:t>
            </w:r>
          </w:p>
        </w:tc>
      </w:tr>
    </w:tbl>
    <w:bookmarkEnd w:id="15"/>
    <w:bookmarkStart w:id="16" w:name="s7b.-reductions-gaps-and-realised-shares"/>
    <w:p>
      <w:pPr>
        <w:pStyle w:val="Heading3"/>
      </w:pPr>
      <w:r>
        <w:t xml:space="preserve">S7b. Reductions, gaps and realised shares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2"/>
        <w:gridCol w:w="460"/>
        <w:gridCol w:w="552"/>
        <w:gridCol w:w="644"/>
        <w:gridCol w:w="782"/>
        <w:gridCol w:w="828"/>
        <w:gridCol w:w="828"/>
        <w:gridCol w:w="552"/>
        <w:gridCol w:w="874"/>
        <w:gridCol w:w="966"/>
        <w:gridCol w:w="8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ai_share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slack_mult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red_S0_S2_pct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red_S0_S0e_pct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gap_S0e_S2_pct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share_S1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timing_share_S1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timing_share_S1rt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gap_S1rt_S2_pct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-7.299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-8.953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-7.742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12.819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20.906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-8.692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-11.809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-10.256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-38.367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-50.657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-9.272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-9.879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-18.045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-11.699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</w:tr>
    </w:tbl>
    <w:bookmarkEnd w:id="16"/>
    <w:bookmarkStart w:id="17" w:name="s7c.-ai-energy-and-new-capacity"/>
    <w:p>
      <w:pPr>
        <w:pStyle w:val="Heading3"/>
      </w:pPr>
      <w:r>
        <w:t xml:space="preserve">S7c. AI energy and new capacity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8"/>
        <w:gridCol w:w="665"/>
        <w:gridCol w:w="798"/>
        <w:gridCol w:w="931"/>
        <w:gridCol w:w="865"/>
        <w:gridCol w:w="865"/>
        <w:gridCol w:w="998"/>
        <w:gridCol w:w="998"/>
        <w:gridCol w:w="99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ai_share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slack_mult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ai_mwh_S0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ai_mwh_S2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new_ocgt_S0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new_ocgt_S2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new_batt_S0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172,282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149,992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172,282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138,555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344,564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299,590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344,564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276,421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689,127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598,274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689,127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551,319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172,282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149,564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172,282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137,710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344,564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299,028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344,564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275,372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689,127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597,887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689,127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550,653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289,389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260,341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289,389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246,129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578,779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517,361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578,779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488,041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1,157,558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1,022,775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1,157,558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958,617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289,389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251,072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289,389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231,239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578,779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502,144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578,779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462,478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1,157,558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1,004,288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1,157,558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924,956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896,015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777,748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896,015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715,968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1,792,029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1,555,066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165.982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1,792,029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1,431,936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165.982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3,584,059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3,118,654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9498.094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591.061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969.722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3,584,059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2,870,654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9498.094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969.722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896,015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777,375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896,015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715,968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1,792,029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1,554,750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1,792,029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1,431,936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3,584,059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3,109,500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3,584,059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2,863,872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17"/>
    <w:bookmarkEnd w:id="18"/>
    <w:bookmarkStart w:id="21" w:name="X83b7fbfdd2104244d988461604b6805b7340c4b"/>
    <w:p>
      <w:pPr>
        <w:pStyle w:val="Heading2"/>
      </w:pPr>
      <w:r>
        <w:t xml:space="preserve">S8. 2030 scenario results, neighbour-aggregate exchange node (export = True rows), idle 41%</w:t>
      </w:r>
    </w:p>
    <w:bookmarkStart w:id="19" w:name="Xf401fe7d09dd0be78ed020058c23951fa378979"/>
    <w:p>
      <w:pPr>
        <w:pStyle w:val="Heading3"/>
      </w:pPr>
      <w:r>
        <w:t xml:space="preserve">S8a. Incremental system cost by scenario (EUR per representative week)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848"/>
        <w:gridCol w:w="990"/>
        <w:gridCol w:w="919"/>
        <w:gridCol w:w="848"/>
        <w:gridCol w:w="848"/>
        <w:gridCol w:w="848"/>
        <w:gridCol w:w="919"/>
        <w:gridCol w:w="84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ai_share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slack_mult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cost_S0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cost_S0e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cost_S1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cost_S3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cost_S1rt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cost_S2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4,790,243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4,160,773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4,179,565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4,179,565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4,155,356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4,155,344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4,790,243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3,836,905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3,864,010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3,864,010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3,832,843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3,832,843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9,578,732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8,319,781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8,357,807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8,357,807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8,311,059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8,309,365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9,578,732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7,672,038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7,726,246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7,726,246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7,663,942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7,663,934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19,148,256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16,635,459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16,713,269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16,713,269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16,616,220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16,616,145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19,148,256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15,334,546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15,442,977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15,442,977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15,320,840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15,320,114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7,957,847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6,917,865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6,939,766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6,939,766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6,906,688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6,906,486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7,957,847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6,377,242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6,404,402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6,404,402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6,358,127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6,357,912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15,912,304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13,822,922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13,868,325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13,868,325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13,802,506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13,800,894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15,912,304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12,738,025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12,792,399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12,792,399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12,703,082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12,699,252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31,796,779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27,576,531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27,673,179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27,673,179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27,541,847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27,537,910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31,796,779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25,395,318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25,504,306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25,504,306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25,336,671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25,324,864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25,357,177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21,990,421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22,116,628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22,116,628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21,986,826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21,986,396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25,357,177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20,250,776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20,352,469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20,352,469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20,246,219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20,245,767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50,791,070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44,044,923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44,295,969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44,295,969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44,038,246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44,036,425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50,791,070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40,552,024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40,752,646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40,752,646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40,539,961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40,539,502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101,894,177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88,322,269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88,822,356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88,822,356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88,307,976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88,302,467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101,894,177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81,305,696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81,713,472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81,713,472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81,280,684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81,276,226</w:t>
            </w:r>
          </w:p>
        </w:tc>
      </w:tr>
    </w:tbl>
    <w:bookmarkEnd w:id="19"/>
    <w:bookmarkStart w:id="20" w:name="s8b.-reductions-gaps-and-realised-shares"/>
    <w:p>
      <w:pPr>
        <w:pStyle w:val="Heading3"/>
      </w:pPr>
      <w:r>
        <w:t xml:space="preserve">S8b. Reductions, gaps and realised shares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86"/>
        <w:gridCol w:w="586"/>
        <w:gridCol w:w="684"/>
        <w:gridCol w:w="831"/>
        <w:gridCol w:w="880"/>
        <w:gridCol w:w="880"/>
        <w:gridCol w:w="586"/>
        <w:gridCol w:w="928"/>
        <w:gridCol w:w="1026"/>
        <w:gridCol w:w="9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ai_share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slack_mult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red_S0_S2_pct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red_S0_S0e_pct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gap_S0e_S2_pct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share_S1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timing_share_S1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timing_share_S1rt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gap_S1rt_S2_pct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-7.513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-31.358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-20.303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-29.539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-25.254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-13.837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</w:tr>
    </w:tbl>
    <w:bookmarkEnd w:id="20"/>
    <w:bookmarkEnd w:id="21"/>
    <w:bookmarkStart w:id="22" w:name="X038372ba6cc88afa1783623a1194cdfdaf9874c"/>
    <w:p>
      <w:pPr>
        <w:pStyle w:val="Heading2"/>
      </w:pPr>
      <w:r>
        <w:t xml:space="preserve">S9. Multi-weather-year summary (islanded, export = False, AI 10%; min/median/max across ten weather years, 2015–2024)</w:t>
      </w:r>
    </w:p>
    <w:p>
      <w:pPr>
        <w:pStyle w:val="FirstParagraph"/>
      </w:pPr>
      <w:r>
        <w:t xml:space="preserve">Rows are metric_statistic; columns are province / idle-power fraction.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3"/>
        <w:gridCol w:w="1052"/>
        <w:gridCol w:w="1052"/>
        <w:gridCol w:w="1152"/>
        <w:gridCol w:w="1152"/>
        <w:gridCol w:w="1152"/>
        <w:gridCol w:w="11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Gansu / idle 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Gansu / idle 0.41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Guizhou / idle 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Guizhou / idle 0.41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Jiangsu / idle 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Jiangsu / idle 0.41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red_S0_S2_pct_min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red_S0_S2_pct_median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red_S0_S2_pct_max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red_S0_S0e_pct_min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red_S0_S0e_pct_median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red_S0_S0e_pct_max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gap_S0e_S2_pct_min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gap_S0e_S2_pct_median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gap_S0e_S2_pct_max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timing_share_S1_min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timing_share_S1_median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timing_share_S1_max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gap_S1_S2_pct_min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gap_S1_S2_pct_median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gap_S1_S2_pct_max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gap_S1rt_S2_pct_min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gap_S1rt_S2_pct_median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gap_S1rt_S2_pct_max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curtail_NOAI_min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curtail_NOAI_median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curtail_NOAI_max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new_ocgt_S0_min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new_ocgt_S0_median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new_ocgt_S0_max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new_ocgt_S2_min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new_ocgt_S2_median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new_ocgt_S2_max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22"/>
    <w:bookmarkStart w:id="23" w:name="X75dbf378734ee6108291579f2c719978abdea67"/>
    <w:p>
      <w:pPr>
        <w:pStyle w:val="Heading2"/>
      </w:pPr>
      <w:r>
        <w:t xml:space="preserve">S10. Cost-parameter Monte Carlo summary (islanded, export = False, AI 10%; 20 feasible draws per province, infeasible or timed-out draws excluded)</w:t>
      </w:r>
    </w:p>
    <w:p>
      <w:pPr>
        <w:pStyle w:val="FirstParagraph"/>
      </w:pPr>
      <w:r>
        <w:t xml:space="preserve">Rows are metric and statistic (count, mean, standard deviation, minimum, 10th/50th/90th percentile, maximum); columns are provinces.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Jiangsu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red_S0_S2_pct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red_S0_S2_pct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18.329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red_S0_S2_pct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red_S0_S2_pct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red_S0_S2_pct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red_S0_S2_pct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red_S0_S2_pct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26.704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red_S0_S2_pct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27.158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red_S0_S0e_pct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red_S0_S0e_pct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red_S0_S0e_pct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red_S0_S0e_pct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red_S0_S0e_pct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red_S0_S0e_pct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red_S0_S0e_pct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25.923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red_S0_S0e_pct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26.305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gap_S0e_S2_pct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gap_S0e_S2_pct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gap_S0e_S2_pct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gap_S0e_S2_pct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gap_S0e_S2_pct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gap_S0e_S2_pct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gap_S0e_S2_pct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gap_S0e_S2_pct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timing_share_S1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timing_share_S1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-3.289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timing_share_S1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timing_share_S1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-7.774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-36.07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timing_share_S1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-7.205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timing_share_S1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timing_share_S1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timing_share_S1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gap_S1_S2_pct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gap_S1_S2_pct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gap_S1_S2_pct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gap_S1_S2_pct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gap_S1_S2_pct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gap_S1_S2_pct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gap_S1_S2_pct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gap_S1_S2_pct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gap_S1rt_S2_pct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gap_S1rt_S2_pct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gap_S1rt_S2_pct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gap_S1rt_S2_pct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gap_S1rt_S2_pct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gap_S1rt_S2_pct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gap_S1rt_S2_pct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gap_S1rt_S2_pct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new_ocgt_S0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new_ocgt_S0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new_ocgt_S0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new_ocgt_S0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new_ocgt_S0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new_ocgt_S0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new_ocgt_S0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new_ocgt_S0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new_ocgt_S2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new_ocgt_S2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new_ocgt_S2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new_ocgt_S2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new_ocgt_S2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new_ocgt_S2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new_ocgt_S2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new_ocgt_S2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23"/>
    <w:bookmarkStart w:id="24" w:name="X40c2dbb2c441843cec894b703ed900de46027ec"/>
    <w:p>
      <w:pPr>
        <w:pStyle w:val="Heading2"/>
      </w:pPr>
      <w:r>
        <w:t xml:space="preserve">S11. Peak-adjusted sensitivity (incremental cost, EUR per representative week)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698"/>
        <w:gridCol w:w="582"/>
        <w:gridCol w:w="990"/>
        <w:gridCol w:w="698"/>
        <w:gridCol w:w="465"/>
        <w:gridCol w:w="698"/>
        <w:gridCol w:w="698"/>
        <w:gridCol w:w="698"/>
        <w:gridCol w:w="931"/>
        <w:gridCol w:w="7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ext_mode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peak_adjusted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inc_cost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new_ocgt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new_batt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curtail_NOAI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peak_2030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9,391,522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8,113,527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8,157,286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8,110,767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8,106,916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8,157,286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18,494,780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15,929,656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16,017,524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15,924,103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15,917,783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16,017,524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8,488,611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7,340,650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7,381,484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7,338,515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7,336,706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7,381,484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16,718,273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14,414,338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14,497,019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14,414,250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14,408,208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14,497,019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9,578,732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8,319,781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8,357,807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8,311,059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8,309,365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8,357,807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19,148,256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16,635,459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16,713,269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16,616,220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16,616,145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16,713,269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24971.916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8,597,494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7,467,710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7,501,527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7,458,148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7,458,068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7,501,527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17,186,950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14,931,508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15,001,276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14,914,691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14,914,307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15,001,276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22409.549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12,737,351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41946.452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10,999,516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41946.452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10,959,127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41946.452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10,882,236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41946.452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10,850,800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41946.452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10,962,125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41946.452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25,007,943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41946.452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21,243,656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41946.452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21,221,539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41946.452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21,120,171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41946.452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20,999,481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41946.452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21,221,539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41946.452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12,739,894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11,054,777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11,029,002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10,963,723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10,931,892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11,029,002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24,696,485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21,004,844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21,051,233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20,941,978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20,834,107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21,051,233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15,912,304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41946.452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13,822,922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41946.452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13,868,325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41946.452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13,802,506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41946.452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13,800,894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41946.452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13,868,325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41946.452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31,796,779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41946.452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27,576,531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41946.452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27,673,179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41946.452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27,541,847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41946.452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27,537,910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41946.452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27,673,179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41946.452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14,827,909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12,874,986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12,919,408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12,860,265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12,857,139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12,919,408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29,618,173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25,683,631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25,781,296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25,653,364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25,652,339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25,781,296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38919.945</w:t>
            </w:r>
          </w:p>
        </w:tc>
      </w:tr>
    </w:tbl>
    <w:bookmarkEnd w:id="24"/>
    <w:bookmarkStart w:id="27" w:name="s12.-mechanism-comparison"/>
    <w:p>
      <w:pPr>
        <w:pStyle w:val="Heading2"/>
      </w:pPr>
      <w:r>
        <w:t xml:space="preserve">S12. Mechanism comparison</w:t>
      </w:r>
    </w:p>
    <w:bookmarkStart w:id="25" w:name="Xf5387747ec8fff1bc7290c1c1dc0506d60b88fe"/>
    <w:p>
      <w:pPr>
        <w:pStyle w:val="Heading3"/>
      </w:pPr>
      <w:r>
        <w:t xml:space="preserve">S12a. Settlement designs under identical tasks and reliability (rows are metrics; columns are provinces)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216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Gansu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Jiangsu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Guizhou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system_cost_S1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159,260,672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550,965,702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114,426,853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system_cost_S3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159,260,672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551,261,129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114,429,851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system_cost_S1rt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159,214,152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550,685,488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114,349,963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system_cost_S2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159,210,301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550,617,327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114,318,526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s3_saving_vs_S1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-295,427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-2998.019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s3_compensation_floor_own_baseline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459,446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20236.509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s3_mean_commitment_mw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295.466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41.165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s1rt_saving_vs_S1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46519.224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280,214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76890.129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gap_S1rt_S2_pct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system_cost_S0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160,494,908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560,080,895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116,205,077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system_cost_S0e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159,216,912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550,832,373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114,467,242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system_cost_NOAI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151,103,385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499,516,889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103,467,726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n_events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</w:t>
            </w:r>
            <w:r>
              <w:t xml:space="preserve">‘winter’</w:t>
            </w:r>
            <w:r>
              <w:t xml:space="preserve">: 0,</w:t>
            </w:r>
            <w:r>
              <w:t xml:space="preserve"> </w:t>
            </w:r>
            <w:r>
              <w:t xml:space="preserve">‘spring’</w:t>
            </w:r>
            <w:r>
              <w:t xml:space="preserve">: 0,</w:t>
            </w:r>
            <w:r>
              <w:t xml:space="preserve"> </w:t>
            </w:r>
            <w:r>
              <w:t xml:space="preserve">‘summer’</w:t>
            </w:r>
            <w:r>
              <w:t xml:space="preserve">: 0,</w:t>
            </w:r>
            <w:r>
              <w:t xml:space="preserve"> </w:t>
            </w:r>
            <w:r>
              <w:t xml:space="preserve">‘autumn’</w:t>
            </w:r>
            <w:r>
              <w:t xml:space="preserve">: 0}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</w:t>
            </w:r>
            <w:r>
              <w:t xml:space="preserve">‘winter’</w:t>
            </w:r>
            <w:r>
              <w:t xml:space="preserve">: 8,</w:t>
            </w:r>
            <w:r>
              <w:t xml:space="preserve"> </w:t>
            </w:r>
            <w:r>
              <w:t xml:space="preserve">‘spring’</w:t>
            </w:r>
            <w:r>
              <w:t xml:space="preserve">: 0,</w:t>
            </w:r>
            <w:r>
              <w:t xml:space="preserve"> </w:t>
            </w:r>
            <w:r>
              <w:t xml:space="preserve">‘summer’</w:t>
            </w:r>
            <w:r>
              <w:t xml:space="preserve">: 0,</w:t>
            </w:r>
            <w:r>
              <w:t xml:space="preserve"> </w:t>
            </w:r>
            <w:r>
              <w:t xml:space="preserve">‘autumn’</w:t>
            </w:r>
            <w:r>
              <w:t xml:space="preserve">: 0}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</w:t>
            </w:r>
            <w:r>
              <w:t xml:space="preserve">‘winter’</w:t>
            </w:r>
            <w:r>
              <w:t xml:space="preserve">: 0,</w:t>
            </w:r>
            <w:r>
              <w:t xml:space="preserve"> </w:t>
            </w:r>
            <w:r>
              <w:t xml:space="preserve">‘spring’</w:t>
            </w:r>
            <w:r>
              <w:t xml:space="preserve">: 0,</w:t>
            </w:r>
            <w:r>
              <w:t xml:space="preserve"> </w:t>
            </w:r>
            <w:r>
              <w:t xml:space="preserve">‘summer’</w:t>
            </w:r>
            <w:r>
              <w:t xml:space="preserve">: 8,</w:t>
            </w:r>
            <w:r>
              <w:t xml:space="preserve"> </w:t>
            </w:r>
            <w:r>
              <w:t xml:space="preserve">‘autumn’</w:t>
            </w:r>
            <w:r>
              <w:t xml:space="preserve">: 0}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ai_mwh_S1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300,635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1,563,793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505,168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ai_mwh_S1rt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299,660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1,555,012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518,678</w:t>
            </w:r>
          </w:p>
        </w:tc>
      </w:tr>
    </w:tbl>
    <w:bookmarkEnd w:id="25"/>
    <w:bookmarkStart w:id="26" w:name="Xcc35b5a34c6188ced943c3631cfc6c6a69e759c"/>
    <w:p>
      <w:pPr>
        <w:pStyle w:val="Heading3"/>
      </w:pPr>
      <w:r>
        <w:t xml:space="preserve">S12b. Baseline-manipulation exposure of the event contract (rows are metrics; columns are province / week)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2329"/>
        <w:gridCol w:w="23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Guizhou / week summer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Jiangsu / week winter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n_events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commit_own_mw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164.662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1181.866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comp_own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80946.034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1,837,782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commit_inflated_mw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comp_inflated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16112.12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inflated_minus_own_event_power_mw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689.945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3708.718</w:t>
            </w:r>
          </w:p>
        </w:tc>
      </w:tr>
    </w:tbl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2026-09-17T05:45:06Z</dcterms:created>
  <dcterms:modified xsi:type="dcterms:W3CDTF">2026-09-17T05:45:06Z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