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17 September 2026</w:t>
      </w:r>
    </w:p>
    <w:p>
      <w:pPr>
        <w:pStyle w:val="BodyText"/>
      </w:pPr>
      <w:r>
        <w:t xml:space="preserve">Dear Editor,</w:t>
      </w:r>
    </w:p>
    <w:p>
      <w:pPr>
        <w:pStyle w:val="BodyText"/>
      </w:pPr>
      <w:r>
        <w:t xml:space="preserve">We submit the manuscript</w:t>
      </w:r>
      <w:r>
        <w:t xml:space="preserve"> </w:t>
      </w:r>
      <w:r>
        <w:t xml:space="preserve">“Efficient modes, not load shifting, deliver most of the grid value of flexible AI computing”</w:t>
      </w:r>
      <w:r>
        <w:t xml:space="preserve"> </w:t>
      </w:r>
      <w:r>
        <w:t xml:space="preserve">for consideration as an Article in</w:t>
      </w:r>
      <w:r>
        <w:t xml:space="preserve"> </w:t>
      </w:r>
      <w:r>
        <w:rPr>
          <w:i/>
          <w:iCs/>
        </w:rPr>
        <w:t xml:space="preserve">Nature Energy</w:t>
      </w:r>
      <w:r>
        <w:t xml:space="preserve">.</w:t>
      </w:r>
    </w:p>
    <w:p>
      <w:pPr>
        <w:pStyle w:val="BodyText"/>
      </w:pPr>
      <w:r>
        <w:t xml:space="preserve">AI computing is the fastest-growing new electricity load in China and elsewhere, and field demonstrations have shown that AI clusters can modulate their power. Policy discussion has focused on load shifting as the source of grid value. Our manuscript separates the two levers a cluster actually has, running at energy-efficient power modes and shifting execution in time, and asks which one creates value for the power system, under what conditions, and whether a firm delivers it under the price signals it faces. The framework combines measured GPU power modes, three public production workload traces, benchmark node-power measurements, a verified joint investment–dispatch model and firm behaviour under tariffs and contracts, applied to three Chinese provinces in a 2030 scenario built entirely from public data.</w:t>
      </w:r>
    </w:p>
    <w:p>
      <w:pPr>
        <w:pStyle w:val="BodyText"/>
      </w:pPr>
      <w:r>
        <w:t xml:space="preserve">Three findings should interest the journal’s readership. First, for the same computing work, coordinated operation lowers the incremental system cost of the AI load by 13.6–28.5% relative to rigid full-speed operation, and almost all of that comes from efficient modes without any shifting; a bill-minimising firm captures this part under both tariff shapes modelled (the official time-of-use tariff and a marginal-cost-shaped price). Second, the value that remains for shifting is small, 0.1–4.4% of incremental cost when a province is islanded and below 0.4% with interprovincial exchange, and it matters mainly where capacity is scarce, where it avoids gigawatts of gas turbines. Third, current time-of-use tariff shapes give shifting a negative value in 14 of the 18 modelled islanded settings because their valleys miss the hours in which the system has slack, an event-based commitment contract does not repair this and is exposed to baseline manipulation, whereas an hourly price shaped like the system’s marginal cost keeps total system cost within 2.6% of the coordinated optimum and recovers shifting value in all but one modelled setting. The practical implication is that the near-term prize is efficient operation, which needs no new market instrument, while shifting needs prices with the right shape rather than contracts layered on today’s tariffs.</w:t>
      </w:r>
    </w:p>
    <w:p>
      <w:pPr>
        <w:pStyle w:val="BodyText"/>
      </w:pPr>
      <w:r>
        <w:t xml:space="preserve">Relative to Colangelo et al. (</w:t>
      </w:r>
      <w:r>
        <w:rPr>
          <w:i/>
          <w:iCs/>
        </w:rPr>
        <w:t xml:space="preserve">Nature Energy</w:t>
      </w:r>
      <w:r>
        <w:t xml:space="preserve">, 2026), which demonstrated grid-interactive operation of an AI cluster, we quantify which of the demonstrated capabilities carries system value and how much a firm delivers under actual tariff structures. Relative to Senga, Wang and Knittel (</w:t>
      </w:r>
      <w:r>
        <w:rPr>
          <w:i/>
          <w:iCs/>
        </w:rPr>
        <w:t xml:space="preserve">iScience</w:t>
      </w:r>
      <w:r>
        <w:t xml:space="preserve">, 2026) and Chen and Zheng (ACM Sustainability Week, 2026), which model data-centre flexibility in capacity expansion, we add measured power modes, task-level deadlines from production traces, measured idle power, firm behaviour and mechanism design, and we show that the mode and shifting components must be separated to avoid misattributing value. Relative to Zhang, Li and Wang (</w:t>
      </w:r>
      <w:r>
        <w:rPr>
          <w:i/>
          <w:iCs/>
        </w:rPr>
        <w:t xml:space="preserve">Applied Energy</w:t>
      </w:r>
      <w:r>
        <w:t xml:space="preserve">, 2025) on China’s regional computing migration and Dunlap (2026) on resource adequacy, we replace exogenous flexibility assumptions with service-constrained schedules and test the incentive layer explicitly.</w:t>
      </w:r>
    </w:p>
    <w:p>
      <w:pPr>
        <w:pStyle w:val="BodyText"/>
      </w:pPr>
      <w:r>
        <w:t xml:space="preserve">All data are public and are listed with sources, versions, checksums and licences in the Supplementary Information; the code and verification records are public on GitHub and archived on Zenodo (https://doi.org/10.5281/zenodo.22803800, release v1.0.3). The manuscript states the evidence basis and limitations of every input, in particular that hourly provincial load shapes are reconstructions checked against published peaks and that the islanded case is a bounding assumption. The work is not under consideration elsewhere, and we have not had prior discussions with a Nature Energy editor about it. The manuscript text is included in the public repository together with the code, which we note in line with the journal’s preprint policy. A companion article in Chinese, which shares the model and data with this manuscript and focuses on time-of-use tariff design for Chinese provincial markets, is being prepared for a Chinese-language journal; it cites this manuscript, and we will inform the editors of its status. The authors declare no competing interests. Should the editors consider the manuscript better suited to</w:t>
      </w:r>
      <w:r>
        <w:t xml:space="preserve"> </w:t>
      </w:r>
      <w:r>
        <w:rPr>
          <w:i/>
          <w:iCs/>
        </w:rPr>
        <w:t xml:space="preserve">Joule</w:t>
      </w:r>
      <w:r>
        <w:t xml:space="preserve">, we would welcome a transfer.</w:t>
      </w:r>
    </w:p>
    <w:p>
      <w:pPr>
        <w:pStyle w:val="BodyText"/>
      </w:pPr>
      <w:r>
        <w:t xml:space="preserve">Yours sincerely,</w:t>
      </w:r>
    </w:p>
    <w:p>
      <w:pPr>
        <w:pStyle w:val="BodyText"/>
      </w:pPr>
      <w:r>
        <w:t xml:space="preserve">William Wei (corresponding author, qkfp0742@leeds.ac.uk; School of Computer Science, Faculty of Engineering and Physical Sciences, University of Leeds, and Spatial Computing (Fujian) Technology Co., Ltd.) and Lanlan Liu (School of Public Administration, Fujian Normal University)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2026-09-17T04:45:38Z</dcterms:created>
  <dcterms:modified xsi:type="dcterms:W3CDTF">2026-09-17T04:45:38Z</dcterms:modified>
</cp:coreProperties>
</file>

<file path=docProps/custom.xml><?xml version="1.0" encoding="utf-8"?>
<Properties xmlns="http://schemas.openxmlformats.org/officeDocument/2006/custom-properties" xmlns:vt="http://schemas.openxmlformats.org/officeDocument/2006/docPropsVTypes"/>
</file>