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eastAsia="Heiti SC"/>
          <w:b w:val="0"/>
        </w:rPr>
        <w:t>Nature Energy 投稿信中文译稿</w:t>
      </w:r>
    </w:p>
    <w:p>
      <w:pPr>
        <w:widowControl/>
        <w:spacing w:after="200"/>
        <w:jc w:val="left"/>
      </w:pPr>
      <w:r>
        <w:rPr>
          <w:rFonts w:eastAsia="Songti SC"/>
          <w:b w:val="0"/>
        </w:rPr>
        <w:t>供作者审读的草稿 尚未达到提交条件 | 2026 年 9 月 27 日</w:t>
      </w:r>
    </w:p>
    <w:p>
      <w:pPr>
        <w:widowControl/>
        <w:spacing w:after="200"/>
        <w:jc w:val="left"/>
      </w:pPr>
      <w:r>
        <w:rPr>
          <w:rFonts w:eastAsia="Songti SC"/>
          <w:b w:val="0"/>
        </w:rPr>
        <w:t>尊敬的编辑：</w:t>
      </w:r>
    </w:p>
    <w:p>
      <w:pPr>
        <w:widowControl/>
        <w:spacing w:after="200"/>
        <w:jc w:val="left"/>
      </w:pPr>
      <w:r>
        <w:rPr>
          <w:rFonts w:eastAsia="Songti SC"/>
          <w:b w:val="0"/>
        </w:rPr>
        <w:t>我们正在准备题为《服务约束与功率测量边界如何影响灵活 AI 计算的电网价值》的大幅修订稿。本草稿对应稿件 NENERGY-26093649；后续修订应采取何种提交途径，须遵循期刊的实际决定与指示。</w:t>
      </w:r>
    </w:p>
    <w:p>
      <w:pPr>
        <w:widowControl/>
        <w:spacing w:after="200"/>
        <w:jc w:val="left"/>
      </w:pPr>
      <w:r>
        <w:rPr>
          <w:rFonts w:eastAsia="Songti SC"/>
          <w:b w:val="0"/>
        </w:rPr>
        <w:t>本研究考察在什么条件下，AI 运行模式及任务时间的改变能够被解释为能源系统灵活性。受控的四组策略比较保持任务群体及完成条件不变。在 108 个条件 GPU 模型配置中，归因强烈依赖允许的完成窗口；较低的模型能耗可能与较高的小时 GPU 需求同时出现。解析反例表明，群体负荷重复记账可能逆转容量结论，而线性采购响应的极值点可能遗漏非线性启停成本。</w:t>
      </w:r>
    </w:p>
    <w:p>
      <w:pPr>
        <w:widowControl/>
        <w:spacing w:after="200"/>
        <w:jc w:val="left"/>
      </w:pPr>
      <w:r>
        <w:rPr>
          <w:rFonts w:eastAsia="Songti SC"/>
          <w:b w:val="0"/>
        </w:rPr>
        <w:t>我们认为，经过充分验证的版本可以通过澄清将计算灵活性转化为电力系统价值所需的证据，引起 Nature Energy 读者的兴趣。目前结果属于条件建模与来源审计，尚未证明实测配对整机节能、生产环境 SLA 合规或经验证的省级容量收益。修订仍需取得缺失测量与物理输入，并完成固定投资后的全年评价，才能提出达到投稿就绪标准的主张。</w:t>
      </w:r>
    </w:p>
    <w:p>
      <w:pPr>
        <w:widowControl/>
        <w:spacing w:after="200"/>
        <w:jc w:val="left"/>
      </w:pPr>
      <w:r>
        <w:rPr>
          <w:rFonts w:eastAsia="Songti SC"/>
          <w:b w:val="0"/>
        </w:rPr>
        <w:t>本信将在实证结果、不确定性、复现材料及最终作者声明完成后定稿。全体作者同意、利益冲突、相关投稿及现有稿件状态仍需确认；本草稿不代表作者作出上述声明。</w:t>
      </w:r>
    </w:p>
    <w:p>
      <w:pPr>
        <w:widowControl/>
        <w:spacing w:after="200"/>
        <w:jc w:val="left"/>
      </w:pPr>
      <w:r>
        <w:rPr>
          <w:rFonts w:eastAsia="Songti SC"/>
          <w:b w:val="0"/>
        </w:rPr>
        <w:t>此致</w:t>
      </w:r>
    </w:p>
    <w:p>
      <w:pPr>
        <w:widowControl/>
        <w:spacing w:after="200"/>
        <w:jc w:val="left"/>
      </w:pPr>
      <w:r>
        <w:rPr>
          <w:rFonts w:eastAsia="Songti SC"/>
          <w:b w:val="0"/>
        </w:rPr>
        <w:t>William Wei 与 Lanlan Liu</w:t>
      </w:r>
    </w:p>
    <w:p>
      <w:pPr>
        <w:widowControl/>
        <w:spacing w:after="200"/>
        <w:jc w:val="left"/>
      </w:pPr>
      <w:r>
        <w:rPr>
          <w:rFonts w:eastAsia="Songti SC"/>
          <w:b w:val="0"/>
        </w:rPr>
        <w:t>通讯邮箱：qkfp0742@leeds.ac.uk</w:t>
      </w:r>
    </w:p>
    <w:sectPr w:rsidR="00FC693F" w:rsidRPr="0006063C" w:rsidSect="00034616">
      <w:headerReference w:type="default" r:id="rId9"/>
      <w:footerReference w:type="default" r:id="rId10"/>
      <w:pgSz w:w="11906" w:h="16838"/>
      <w:pgMar w:top="1134" w:right="1077" w:bottom="1077" w:left="107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Arial" w:hAnsi="Arial" w:eastAsia="Songti SC"/>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after="0"/>
      <w:jc w:val="left"/>
    </w:pPr>
    <w:r>
      <w:rPr>
        <w:rFonts w:ascii="Arial" w:hAnsi="Arial" w:eastAsia="Songti SC"/>
        <w:color w:val="5A5A5A"/>
        <w:sz w:val="17"/>
      </w:rPr>
      <w:t>投稿信草稿  v1.8 中文审读版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after="120"/>
    </w:pPr>
    <w:rPr>
      <w:rFonts w:ascii="Times New Roman" w:hAnsi="Times New Roman"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Heiti SC"/>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Hei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eastAsia="Heiti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Songti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Energy 投稿信中文译稿</dc:title>
  <dc:subject>Chinese translation of v1.8 review edition, evidence through stage 38</dc:subject>
  <dc:creator>William Wei; Lanlan Liu</dc:creator>
  <cp:keywords/>
  <dc:description>Not a submission-ready empirical study. English reference and figure labels retained.</dc:description>
  <cp:lastModifiedBy/>
  <cp:revision>1</cp:revision>
  <dcterms:created xsi:type="dcterms:W3CDTF">2013-12-23T23:15:00Z</dcterms:created>
  <dcterms:modified xsi:type="dcterms:W3CDTF">2013-12-23T23:15:00Z</dcterms:modified>
  <cp:category/>
</cp:coreProperties>
</file>