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rFonts w:eastAsia="Heiti SC"/>
          <w:b w:val="0"/>
        </w:rPr>
        <w:t>服务约束下 AI 计算灵活性的补充方法</w:t>
      </w:r>
    </w:p>
    <w:p>
      <w:pPr>
        <w:widowControl/>
        <w:spacing w:after="60"/>
        <w:jc w:val="center"/>
      </w:pPr>
      <w:r>
        <w:rPr>
          <w:rFonts w:eastAsia="Songti SC"/>
          <w:b w:val="0"/>
        </w:rPr>
        <w:t>v1.8 中文审读译稿 | 2026 年 9 月 27 日 | 证据整合至修订阶段 38</w:t>
      </w:r>
    </w:p>
    <w:p>
      <w:pPr>
        <w:widowControl/>
        <w:jc w:val="left"/>
      </w:pPr>
      <w:r>
        <w:rPr>
          <w:rFonts w:eastAsia="Songti SC"/>
          <w:b/>
        </w:rPr>
        <w:t>范围说明。</w:t>
      </w:r>
      <w:r>
        <w:rPr>
          <w:rFonts w:eastAsia="Songti SC"/>
          <w:b w:val="0"/>
        </w:rPr>
        <w:t xml:space="preserve"> 本补充信息汇总已实现的修订方法及其证据限制，与当前审读主文配套，不代表完整省级实验已经完成。详细推导、来源报告和操作说明可通过英文包的证据索引查阅。历史 v1.4 补充信息另行归档。本稿忠实翻译 v1.8；图内文字保留英文，另附中文释义。</w:t>
      </w:r>
    </w:p>
    <w:p>
      <w:pPr>
        <w:pStyle w:val="Heading1"/>
        <w:widowControl/>
      </w:pPr>
      <w:r>
        <w:rPr>
          <w:rFonts w:eastAsia="Heiti SC"/>
          <w:b w:val="0"/>
        </w:rPr>
        <w:t>S1 固定工作量与回顾性服务基准</w:t>
      </w:r>
    </w:p>
    <w:p>
      <w:pPr>
        <w:widowControl/>
        <w:jc w:val="left"/>
      </w:pPr>
      <w:r>
        <w:rPr>
          <w:rFonts w:eastAsia="Songti SC"/>
          <w:b w:val="0"/>
        </w:rPr>
        <w:t>目标任务保留记录中的 GPU 并行组规模，必须且只能执行一次，在连续时间段内运行，不允许抢占。工作量代理为记录的 GPU 数乘以运行时间。所选模式根据归一化吞吐率改变模型运行时长。提交时刻为释放时刻；历史完成时刻加 0、6 或 24 小时为完成基准。这些是分析者定义的回顾性服务条件。记录中的等待时间不能证明用户愿意接受进一步延迟。</w:t>
      </w:r>
    </w:p>
    <w:p>
      <w:pPr>
        <w:widowControl/>
        <w:jc w:val="left"/>
      </w:pPr>
      <w:r>
        <w:rPr>
          <w:rFonts w:eastAsia="Songti SC"/>
          <w:b w:val="0"/>
        </w:rPr>
        <w:t>所有其他资源分配保持为固定背景，包括未成功任务和跨越任务群体边界的任务。每组策略均保留相同的 192 小时范围，包括下一天的背景任务。不能通过删除任务或延长截止时间来修复不可行比较。可分工作量松弛与固定并行组构造是两种不同表示：前者可行不代表物理设备能够容纳完整并行组。设备放置、异构性、通信拓扑和有效工作质量仍是额外约束。</w:t>
      </w:r>
    </w:p>
    <w:p>
      <w:pPr>
        <w:widowControl/>
      </w:pPr>
      <w:r>
        <w:rPr>
          <w:rFonts w:eastAsia="Songti SC"/>
          <w:b w:val="0"/>
        </w:rPr>
        <w:t>构造性回放一次释放一个任务的原资源预留，其余保持不变，选择可行的连续执行区间，并保留原预留作为回退方案。原始记录验证独立重建工作量、完成时间及事件级容量。受求解资源限制的案例保持“未解决”，不得标为不可行或删除。</w:t>
      </w:r>
    </w:p>
    <w:p>
      <w:pPr>
        <w:pStyle w:val="Heading1"/>
        <w:widowControl/>
      </w:pPr>
      <w:r>
        <w:rPr>
          <w:rFonts w:eastAsia="Heiti SC"/>
          <w:b w:val="0"/>
        </w:rPr>
        <w:t>S2 四组策略与确定性归因</w:t>
      </w:r>
    </w:p>
    <w:p>
      <w:pPr>
        <w:widowControl/>
      </w:pPr>
      <w:r>
        <w:rPr>
          <w:rFonts w:eastAsia="Songti SC"/>
          <w:b w:val="0"/>
        </w:rPr>
        <w:t>C00、C10、C01、C11 保持任务群体、功率假设、电价形状及回顾性信息一致，仅运行模式与启动时间的选择权限不同。C10 的结束时间可以改变。四组均最小化同一种条件 GPU 电费，不混用能耗目标与系统成本目标。</w:t>
      </w:r>
    </w:p>
    <w:p>
      <w:pPr>
        <w:widowControl/>
        <w:jc w:val="left"/>
      </w:pPr>
      <w:r>
        <w:rPr>
          <w:rFonts w:eastAsia="Songti SC"/>
          <w:b w:val="0"/>
        </w:rPr>
        <w:t>C10 和 C01 各从 C00 出发进行一轮改进。C11 从两者中成本较低者出发，在同时开放两种权限后进行一轮改进。只接受严格改进，以保留已有父策略结果。对固定模式下的单个任务，候选启动时刻包括可行区间边界、电价断点以及减去运行时长后的电价断点。当其余预留固定时，这给出该任务的精确更新，而非全局最优排程。</w:t>
      </w:r>
    </w:p>
    <w:p>
      <w:pPr>
        <w:widowControl/>
      </w:pPr>
      <w:r>
        <w:rPr>
          <w:rFonts w:eastAsia="Songti SC"/>
          <w:b w:val="0"/>
        </w:rPr>
        <w:t>以 C00、C10、C01、C11 表示相应权限下的成本，模式与启动时间的对称归因为：</w:t>
      </w:r>
    </w:p>
    <w:p>
      <w:pPr>
        <w:widowControl/>
        <w:spacing w:before="120" w:after="160"/>
        <w:jc w:val="center"/>
      </w:pPr>
      <m:oMath>
        <m:r>
          <m:rPr/>
          <m:t>M</m:t>
        </m:r>
        <m:r>
          <m:rPr>
            <m:sty m:val="p"/>
          </m:rPr>
          <m:t> = </m:t>
        </m:r>
        <m:f>
          <m:fPr/>
          <m:num>
            <m:d>
              <m:dPr>
                <m:begChr m:val="("/>
                <m:endChr m:val=")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00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10</m:t>
                    </m:r>
                  </m:sub>
                </m:sSub>
              </m:e>
            </m:d>
            <m:r>
              <m:rPr>
                <m:sty m:val="p"/>
              </m:rPr>
              <m:t> + </m:t>
            </m:r>
            <m:d>
              <m:dPr>
                <m:begChr m:val="("/>
                <m:endChr m:val=")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11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2</m:t>
            </m:r>
          </m:den>
        </m:f>
      </m:oMath>
    </w:p>
    <w:p>
      <w:pPr>
        <w:widowControl/>
        <w:spacing w:before="120" w:after="160"/>
        <w:jc w:val="center"/>
      </w:pPr>
      <m:oMath>
        <m:r>
          <m:rPr/>
          <m:t>T</m:t>
        </m:r>
        <m:r>
          <m:rPr>
            <m:sty m:val="p"/>
          </m:rPr>
          <m:t> = </m:t>
        </m:r>
        <m:f>
          <m:fPr/>
          <m:num>
            <m:d>
              <m:dPr>
                <m:begChr m:val="("/>
                <m:endChr m:val=")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00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01</m:t>
                    </m:r>
                  </m:sub>
                </m:sSub>
              </m:e>
            </m:d>
            <m:r>
              <m:rPr>
                <m:sty m:val="p"/>
              </m:rPr>
              <m:t> + </m:t>
            </m:r>
            <m:d>
              <m:dPr>
                <m:begChr m:val="("/>
                <m:endChr m:val=")"/>
              </m:dPr>
              <m:e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C</m:t>
                    </m:r>
                  </m:e>
                  <m:sub>
                    <m:r>
                      <m:rPr>
                        <m:sty m:val="p"/>
                      </m:rPr>
                      <m:t>11</m:t>
                    </m:r>
                  </m:sub>
                </m:sSub>
              </m:e>
            </m:d>
          </m:num>
          <m:den>
            <m:r>
              <m:rPr>
                <m:sty m:val="p"/>
              </m:rPr>
              <m:t>2</m:t>
            </m:r>
          </m:den>
        </m:f>
      </m:oMath>
    </w:p>
    <w:p>
      <w:pPr>
        <w:widowControl/>
      </w:pPr>
      <w:r>
        <w:rPr>
          <w:rFonts w:eastAsia="Songti SC"/>
          <w:b w:val="0"/>
        </w:rPr>
        <w:t>两项之和等于联合成本下降。我们同时报告两种边际顺序及其交互作用。这是一种基于策略权限的分摊，不是能效与灵活性之间不变的物理划分。</w:t>
      </w:r>
    </w:p>
    <w:p>
      <w:pPr>
        <w:widowControl/>
        <w:jc w:val="left"/>
      </w:pPr>
      <w:r>
        <w:rPr>
          <w:rFonts w:eastAsia="Songti SC"/>
          <w:b w:val="0"/>
        </w:rPr>
        <w:t>另行逐任务优化，移除任务对共享 GPU 容量的竞争，但保留各任务的并行组规模、工作量和服务窗口。最小值之和构成各策略最优成本的下界；可行排程构成上界。嵌套可行集的不等式进一步约束成本。线性分式优化界定最优联合节省中的模式份额，并由独立顶点枚举核验。这些是以模型为条件的确定性识别界限，不是置信区间。</w:t>
      </w:r>
    </w:p>
    <w:p>
      <w:pPr>
        <w:widowControl/>
        <w:jc w:val="left"/>
      </w:pPr>
      <w:r>
        <w:rPr>
          <w:rFonts w:eastAsia="Songti SC"/>
          <w:b w:val="0"/>
        </w:rPr>
        <w:t>当观察到的启动时间固定、额外完成宽限为零时，严格慢于唯一基准速度的模式无法完成固定工作量，因此 C10 等于 C00。对于全局最优的嵌套策略组，若联合节省为正，对称模式份额最多为一半。该前提排除了另一种同速低功率模式、基准中未使用的速度余量以及输出质量改变。</w:t>
      </w:r>
    </w:p>
    <w:p>
      <w:pPr>
        <w:pStyle w:val="Heading1"/>
        <w:widowControl/>
      </w:pPr>
      <w:r>
        <w:rPr>
          <w:rFonts w:eastAsia="Heiti SC"/>
          <w:b w:val="0"/>
        </w:rPr>
        <w:t>S3 整机功率与共同观测范围</w:t>
      </w:r>
    </w:p>
    <w:p>
      <w:pPr>
        <w:widowControl/>
        <w:jc w:val="left"/>
      </w:pPr>
      <w:r>
        <w:rPr>
          <w:rFonts w:eastAsia="Songti SC"/>
          <w:b w:val="0"/>
        </w:rPr>
        <w:t>不能把 GPU 回放与另一台机器的空闲功率拼接后，声称得到实测整机节能。硬件实验必须在同一配置上测量有效工作、输出质量、运行和空闲能量、切换和检查点开销，以及纳入边界的制冷耗电。基准和受控执行必须比较共同的结束状态与时间范围。</w:t>
      </w:r>
    </w:p>
    <w:p>
      <w:pPr>
        <w:widowControl/>
        <w:jc w:val="left"/>
      </w:pPr>
      <w:r>
        <w:rPr>
          <w:rFonts w:eastAsia="Songti SC"/>
          <w:b w:val="0"/>
        </w:rPr>
        <w:t>设同一节点完成相同有效工作，两种策略同时启动，并在共同截止时刻之前回到相同的恒定空闲状态。基准和受控运行能量为 Eᵣ 和 Eₘ，运行时长为 Tᵣ 和 Tₘ，共同空闲功率为 P₀，未被重复计入的额外控制能量和时长为 K 和 τ。当受控任务不快于基准时，共同范围内的能量下降为：</w:t>
      </w:r>
    </w:p>
    <w:p>
      <w:pPr>
        <w:widowControl/>
        <w:spacing w:before="120" w:after="160"/>
        <w:jc w:val="center"/>
      </w:pPr>
      <m:oMath>
        <m:r>
          <m:rPr/>
          <m:t>Δ</m:t>
        </m:r>
        <m:r>
          <m:rPr/>
          <m:t>E</m:t>
        </m:r>
        <m:r>
          <m:rPr>
            <m:sty m:val="p"/>
          </m:rPr>
          <m:t> = 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 − 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 − </m:t>
        </m:r>
        <m:r>
          <m:rPr/>
          <m:t>K</m:t>
        </m:r>
        <m:r>
          <m:rPr>
            <m:sty m:val="p"/>
          </m:rPr>
          <m:t> + </m:t>
        </m:r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0</m:t>
            </m:r>
          </m:sub>
        </m:sSub>
        <m:d>
          <m:dPr>
            <m:begChr m:val="("/>
            <m:endChr m:val=")"/>
          </m:dPr>
          <m:e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sty m:val="p"/>
                  </m:rPr>
                  <m:t>m</m:t>
                </m:r>
              </m:sub>
            </m:sSub>
            <m:r>
              <m:rPr>
                <m:sty m:val="p"/>
              </m:rPr>
              <m:t> + </m:t>
            </m:r>
            <m:r>
              <m:rPr/>
              <m:t>τ</m:t>
            </m:r>
            <m:r>
              <m:rPr>
                <m:sty m:val="p"/>
              </m:rPr>
              <m:t> − 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sty m:val="p"/>
                  </m:rPr>
                  <m:t>r</m:t>
                </m:r>
              </m:sub>
            </m:sSub>
          </m:e>
        </m:d>
      </m:oMath>
    </w:p>
    <w:p>
      <w:pPr>
        <w:widowControl/>
        <w:jc w:val="left"/>
      </w:pPr>
      <w:r>
        <w:rPr>
          <w:rFonts w:eastAsia="Songti SC"/>
          <w:b w:val="0"/>
        </w:rPr>
        <w:t>此恒等式只在两组执行及全部控制开销都落入共同范围内时成立。在这些假设下，运行能量节省大于额外控制能量，是总能量下降的充分条件。缺少其余功率测量时，不能确定精确节省百分比。空闲状态不同、存在关机机会、后续有其他有效工作、电价随时间变化，或目标为电网成本时，需要不同的比较方法。</w:t>
      </w:r>
    </w:p>
    <w:p>
      <w:pPr>
        <w:widowControl/>
        <w:jc w:val="left"/>
      </w:pPr>
      <w:r>
        <w:rPr>
          <w:rFonts w:eastAsia="Songti SC"/>
          <w:b w:val="0"/>
        </w:rPr>
        <w:t>现有外部整机再分析使用另一套硬件的公开均值。舍入余量不等于变异性界限，平均运行时间小于截止时间也不能证明逐次执行或尾延迟合规。本包没有新增硬件实验。已提供测量方案与空白数据接收表，物理测量仍未补齐。2026 年 9 月 27 日，项目联系人表示目前暂无现场数据或设备。</w:t>
      </w:r>
    </w:p>
    <w:p>
      <w:pPr>
        <w:pStyle w:val="Heading1"/>
        <w:widowControl/>
      </w:pPr>
      <w:r>
        <w:rPr>
          <w:rFonts w:eastAsia="Heiti SC"/>
          <w:b w:val="0"/>
        </w:rPr>
        <w:t>S4 需求与任务群体记账</w:t>
      </w:r>
    </w:p>
    <w:p>
      <w:pPr>
        <w:widowControl/>
      </w:pPr>
      <w:r>
        <w:rPr>
          <w:rFonts w:eastAsia="Songti SC"/>
          <w:b w:val="0"/>
        </w:rPr>
        <w:t>对于真正新增的任务群体，B 是已排除该群体的背景需求，Aᵖ 是策略 p 下的群体功率。对于已嵌入负荷的群体，观察到的总量 L 已包含基准群体 Aʳ，必须先扣除。记账关系为：</w:t>
      </w:r>
    </w:p>
    <w:p>
      <w:pPr>
        <w:widowControl/>
        <w:spacing w:before="120" w:after="160"/>
        <w:jc w:val="center"/>
      </w:pPr>
      <m:oMath>
        <m:sSup>
          <m:sSupPr/>
          <m:e>
            <m:r>
              <m:rPr/>
              <m:t>D</m:t>
            </m:r>
          </m:e>
          <m:sup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 = </m:t>
        </m:r>
        <m:r>
          <m:rPr/>
          <m:t>B</m:t>
        </m:r>
        <m:r>
          <m:rPr>
            <m:sty m:val="p"/>
          </m:rPr>
          <m:t> + 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p</m:t>
            </m:r>
          </m:sup>
        </m:sSup>
      </m:oMath>
    </w:p>
    <w:p>
      <w:pPr>
        <w:widowControl/>
        <w:spacing w:before="120" w:after="160"/>
        <w:jc w:val="center"/>
      </w:pPr>
      <m:oMath>
        <m:r>
          <m:rPr/>
          <m:t>B</m:t>
        </m:r>
        <m:r>
          <m:rPr>
            <m:sty m:val="p"/>
          </m:rPr>
          <m:t> = </m:t>
        </m:r>
        <m:r>
          <m:rPr/>
          <m:t>L</m:t>
        </m:r>
        <m:r>
          <m:rPr>
            <m:sty m:val="p"/>
          </m:rPr>
          <m:t> − 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r</m:t>
            </m:r>
          </m:sup>
        </m:sSup>
      </m:oMath>
    </w:p>
    <w:p>
      <w:pPr>
        <w:widowControl/>
        <w:jc w:val="left"/>
      </w:pPr>
      <w:r>
        <w:rPr>
          <w:rFonts w:eastAsia="Songti SC"/>
          <w:b w:val="0"/>
        </w:rPr>
        <w:t>所有策略使用相同 B。基准策略必须精确重建 L。输入必须具有兼容的节点身份、功率边界，以及完整、含时区、间隔一致的时间序列。背景负荷为负时应拒绝输入，不能截为零；不能默默移动或填补时段。群体功率属于必须满足的需求，不能通过切除它掩盖工作未被服务。</w:t>
      </w:r>
    </w:p>
    <w:p>
      <w:pPr>
        <w:widowControl/>
        <w:jc w:val="left"/>
      </w:pPr>
      <w:r>
        <w:rPr>
          <w:rFonts w:eastAsia="Songti SC"/>
          <w:b w:val="0"/>
        </w:rPr>
        <w:t>主文的合成两小时例子将总负荷 L 固定为 [8, 8] MW，基准群体为 [4, 0] MW，受控群体为 [0, 2] MW。正确背景为 [4, 8] MW，峰值从 8 增至 10 MW。把群体再次加到 L 上会得到从 12 降至 10 MW 的虚假峰值下降。若供给成本泛函固定且线性，共同加性错误会在策略差中抵消；容量投资与启停决策则未必如此。</w:t>
      </w:r>
    </w:p>
    <w:p>
      <w:pPr>
        <w:widowControl/>
        <w:jc w:val="left"/>
      </w:pPr>
      <w:r>
        <w:rPr>
          <w:rFonts w:eastAsia="Songti SC"/>
          <w:b w:val="0"/>
        </w:rPr>
        <w:t>轨迹到电网测试保留 Earth 集群、微调曲线、6 小时宽限、江苏电价条件下四条通过验证的 192 小时轨迹。每 GPU 对应 0.5 kW 的满载整机功率、0.41 的空闲比例和 3 MW 的背景负荷均为明确声明的测试假设。处理的电力群体是整个复制集群，包括空闲及固定背景 GPU 工作。移除该群体既不等于移除全社会 AI 需求，也不等于只移除被重新排程的任务。</w:t>
      </w:r>
    </w:p>
    <w:p>
      <w:pPr>
        <w:pStyle w:val="Heading1"/>
        <w:widowControl/>
      </w:pPr>
      <w:r>
        <w:rPr>
          <w:rFonts w:eastAsia="Heiti SC"/>
          <w:b w:val="0"/>
        </w:rPr>
        <w:t>S5 电力系统组成与运行边界</w:t>
      </w:r>
    </w:p>
    <w:p>
      <w:pPr>
        <w:widowControl/>
        <w:jc w:val="left"/>
      </w:pPr>
      <w:r>
        <w:rPr>
          <w:rFonts w:eastAsia="Songti SC"/>
          <w:b w:val="0"/>
        </w:rPr>
        <w:t>修订后的数学组件区分机组组合、储能和水库平衡、工业自备供给及外部电网接口。投资与运行状态是不同对象。没有 AI 群体的基准不能随着这个并不存在的群体规模改变。除非实验明确研究投资，否则策略间背景需求、已装资产与评估条件保持一致。</w:t>
      </w:r>
    </w:p>
    <w:p>
      <w:pPr>
        <w:widowControl/>
        <w:jc w:val="left"/>
      </w:pPr>
      <w:r>
        <w:rPr>
          <w:rFonts w:eastAsia="Songti SC"/>
          <w:b w:val="0"/>
        </w:rPr>
        <w:t>抽水蓄能先耗电、后放电，必须有荷电状态平衡，不能视作零成本天然来水。水库运行需要水量或能量预算，并明确初末状态。机组组合包括二元运行和启动决策、最小出力，以及相关爬坡或最短开停机要求。合成检查通过不代表已取得实际发电机参数。</w:t>
      </w:r>
    </w:p>
    <w:p>
      <w:pPr>
        <w:widowControl/>
        <w:jc w:val="left"/>
      </w:pPr>
      <w:r>
        <w:rPr>
          <w:rFonts w:eastAsia="Songti SC"/>
          <w:b w:val="0"/>
        </w:rPr>
        <w:t>工业副产煤气需要共享工艺煤气平衡，并在适用时处理其他工艺用途、放散及有限储气。定义有符号的电网购售电之前，必须纳入厂内刚性工业需求和厂用电。清单中的总装机不能证明可独立调度的外送能力。钢铁业务年度电量和自发电比例不能替代机组级或厂区净电表观测。</w:t>
      </w:r>
    </w:p>
    <w:p>
      <w:pPr>
        <w:widowControl/>
      </w:pPr>
      <w:r>
        <w:rPr>
          <w:rFonts w:eastAsia="Songti SC"/>
          <w:b w:val="0"/>
        </w:rPr>
        <w:t>候选在运资产不能继承未来新建项目的容量权限。既有燃气机组与未来开式燃气轮机（OCGT）投资选项分别表示；尚未解决的建设许可和容量上限保持显式。历史平均效率或通用抽汽系数属于条件参考，不能当作中国机组实测热耗或供热曲线。</w:t>
      </w:r>
    </w:p>
    <w:p>
      <w:pPr>
        <w:pStyle w:val="Heading1"/>
        <w:widowControl/>
      </w:pPr>
      <w:r>
        <w:rPr>
          <w:rFonts w:eastAsia="Heiti SC"/>
          <w:b w:val="0"/>
        </w:rPr>
        <w:t>S6 技术类型与物理资产身份</w:t>
      </w:r>
    </w:p>
    <w:p>
      <w:pPr>
        <w:widowControl/>
        <w:jc w:val="left"/>
      </w:pPr>
      <w:r>
        <w:rPr>
          <w:rFonts w:eastAsia="Songti SC"/>
          <w:b w:val="0"/>
        </w:rPr>
        <w:t>冻结来源群体共 109 条记录、24,959 MW。别名审读之前，包含 97 条联合循环记录及 12 条工业副产煤气蒸汽轮机记录。来源中的热电联产（CHP）字段不是完整供热合同：未知项不能改为零供热需求。19 个机组名称单元格采用 Excel 日期格式；保留原始编号和值，不猜测原意。</w:t>
      </w:r>
    </w:p>
    <w:p>
      <w:pPr>
        <w:widowControl/>
        <w:jc w:val="left"/>
      </w:pPr>
      <w:r>
        <w:rPr>
          <w:rFonts w:eastAsia="Songti SC"/>
          <w:b w:val="0"/>
        </w:rPr>
        <w:t>阜宁研究审读将 G100000405489 与 G100000412495 归为一组，将 G100000405490 与 G100000412494 归为另一组。两个项目页面引用同一政府项目说明，中文别名与运营方两台机组投运说明相符。坐标与所有权汇总上的差异予以保留。这是有记录的推断，不是数据库作者勘误，也不是设备序列号核查。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 w:val="true"/>
        </w:trP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9"/>
          </w:tcPr>
          <w:p>
            <w:pPr>
              <w:widowControl/>
              <w:spacing w:after="0"/>
              <w:jc w:val="left"/>
            </w:pPr>
            <w:r>
              <w:rPr>
                <w:rFonts w:ascii="Arial" w:hAnsi="Arial" w:eastAsia="Songti SC"/>
                <w:b/>
                <w:color w:val="FFFFFF"/>
                <w:sz w:val="19"/>
              </w:rPr>
              <w:t>一次别名审读后的候选类别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/>
                <w:color w:val="FFFFFF"/>
                <w:sz w:val="19"/>
              </w:rPr>
              <w:t>资产数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/>
                <w:color w:val="FFFFFF"/>
                <w:sz w:val="19"/>
              </w:rPr>
              <w:t>MW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left"/>
            </w:pPr>
            <w:r>
              <w:rPr>
                <w:rFonts w:ascii="Arial" w:hAnsi="Arial" w:eastAsia="Songti SC"/>
                <w:b w:val="0"/>
                <w:sz w:val="19"/>
              </w:rPr>
              <w:t>已报告热电联产的联合循环机组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80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17,653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left"/>
            </w:pPr>
            <w:r>
              <w:rPr>
                <w:rFonts w:ascii="Arial" w:hAnsi="Arial" w:eastAsia="Songti SC"/>
                <w:b w:val="0"/>
                <w:sz w:val="19"/>
              </w:rPr>
              <w:t>供热服务未明确的联合循环机组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15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5,981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left"/>
            </w:pPr>
            <w:r>
              <w:rPr>
                <w:rFonts w:ascii="Arial" w:hAnsi="Arial" w:eastAsia="Songti SC"/>
                <w:b w:val="0"/>
                <w:sz w:val="19"/>
              </w:rPr>
              <w:t>工业副产煤气蒸汽轮机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12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1,125</w:t>
            </w:r>
          </w:p>
        </w:tc>
      </w:tr>
      <w:tr>
        <w:trPr>
          <w:cantSplit/>
        </w:trPr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left"/>
            </w:pPr>
            <w:r>
              <w:rPr>
                <w:rFonts w:ascii="Arial" w:hAnsi="Arial" w:eastAsia="Songti SC"/>
                <w:b w:val="0"/>
                <w:sz w:val="19"/>
              </w:rPr>
              <w:t>候选视图合计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107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3F6F9"/>
          </w:tcPr>
          <w:p>
            <w:pPr>
              <w:widowControl/>
              <w:spacing w:after="0"/>
              <w:jc w:val="center"/>
            </w:pPr>
            <w:r>
              <w:rPr>
                <w:rFonts w:ascii="Arial" w:hAnsi="Arial" w:eastAsia="Songti SC"/>
                <w:b w:val="0"/>
                <w:sz w:val="19"/>
              </w:rPr>
              <w:t>24,759</w:t>
            </w:r>
          </w:p>
        </w:tc>
      </w:tr>
    </w:tbl>
    <w:p>
      <w:pPr>
        <w:widowControl/>
        <w:spacing w:after="40"/>
      </w:pPr>
    </w:p>
    <w:p>
      <w:pPr>
        <w:widowControl/>
        <w:jc w:val="left"/>
      </w:pPr>
      <w:r>
        <w:rPr>
          <w:rFonts w:eastAsia="Songti SC"/>
          <w:b w:val="0"/>
        </w:rPr>
        <w:t>109 个来源编号全部可追溯。其余 105 条来源记录尚未完成完整物理身份核查。邻近位置筛选仅是审读辅助，不能证明已发现所有别名。视图保留既有的条件性 2030 年成员范围，不能证明这些资产在 2030 年仍投运或存续。该程序没有准入任何完整运行参数集。</w:t>
      </w:r>
    </w:p>
    <w:p>
      <w:pPr>
        <w:pStyle w:val="Heading1"/>
        <w:widowControl/>
      </w:pPr>
      <w:r>
        <w:rPr>
          <w:rFonts w:eastAsia="Heiti SC"/>
          <w:b w:val="0"/>
        </w:rPr>
        <w:t>S7 可再生能源发电与时间验证</w:t>
      </w:r>
    </w:p>
    <w:p>
      <w:pPr>
        <w:widowControl/>
      </w:pPr>
      <w:r>
        <w:rPr>
          <w:rFonts w:eastAsia="Songti SC"/>
          <w:b w:val="0"/>
        </w:rPr>
        <w:t>明确的气象来源、正确时间戳和可复现转换，本身不能证明实际发电。修订区分技术、选址、设备、容量年代和电表边界。把历史天气施加于现代固定装机是规划情景，不一定是历史机组群重建。</w:t>
      </w:r>
    </w:p>
    <w:p>
      <w:pPr>
        <w:widowControl/>
      </w:pPr>
      <w:r>
        <w:rPr>
          <w:rFonts w:eastAsia="Songti SC"/>
          <w:b w:val="0"/>
        </w:rPr>
        <w:t>海上风电诊断从公司季度、半年度和年度披露推导 12 个季度。报告发电量与上网电量保持区分。相邻季度共享累计端点，误差并不独立。将公司控股海上风电发电量映射为 H2 代理，是有证据支持的范围推断，仍需运行层面确认。</w:t>
      </w:r>
    </w:p>
    <w:p>
      <w:pPr>
        <w:widowControl/>
        <w:jc w:val="left"/>
      </w:pPr>
      <w:r>
        <w:rPr>
          <w:rFonts w:eastAsia="Songti SC"/>
          <w:b w:val="0"/>
        </w:rPr>
        <w:t>2022 年校准系数保持固定。不以季度拟合、挑选有利曲线或物理截断修补后续结果。2023 年，NREL 参考曲线的年度有符号误差为 −0.551%，而季度绝对误差之和为年度发电量的 13.075%（图 S1）。约 95.785% 的季度绝对偏差在年度求和中相互抵消。这是描述性恒等关系，不代表模型已被接受或具有统计置信度。由于已经查看相关结果，该检验属于探索性分析。</w:t>
      </w:r>
    </w:p>
    <w:p>
      <w:pPr>
        <w:widowControl/>
      </w:pPr>
      <w:r>
        <w:rPr>
          <w:rFonts w:eastAsia="Songti SC"/>
          <w:b w:val="0"/>
        </w:rPr>
        <w:t>小时发电量、极端时段表现、独立匹配的设备和运行损失，以及其他地区仍需验证。旧天气数据采集保持暂停。重新下载已检查时段不会使它们变成未接触过的留出样本。</w:t>
      </w:r>
    </w:p>
    <w:p>
      <w:pPr>
        <w:pStyle w:val="Heading1"/>
        <w:widowControl/>
      </w:pPr>
      <w:r>
        <w:rPr>
          <w:rFonts w:eastAsia="Heiti SC"/>
          <w:b w:val="0"/>
        </w:rPr>
        <w:t>S8 机制与决策时信息</w:t>
      </w:r>
    </w:p>
    <w:p>
      <w:pPr>
        <w:widowControl/>
      </w:pPr>
      <w:r>
        <w:rPr>
          <w:rFonts w:eastAsia="Songti SC"/>
          <w:b w:val="0"/>
        </w:rPr>
        <w:t>采购框架区分选择报价时使用的预测信息，以及评价报价时的实际实现值。参与成本与支付单独记账；报价集合包含不采购选项。支付是转移，不能混同于真实资源节省。原先的最大事件削减规则不能表示所有可能的事件合同。</w:t>
      </w:r>
    </w:p>
    <w:p>
      <w:pPr>
        <w:widowControl/>
        <w:jc w:val="left"/>
      </w:pPr>
      <w:r>
        <w:rPr>
          <w:rFonts w:eastAsia="Songti SC"/>
          <w:b w:val="0"/>
        </w:rPr>
        <w:t>电网成本非线性时，追随者电费相同的响应可以具有不同供给成本。考虑合成响应族：第一时段不耗电，在两个恢复时段分别耗电 x 和 1−x。线性预测的极值点把恢复全部放入一个时段，只需一次启动，成本为 10。所有内部拆分均需两次启动，成本为 20。因此，即便检查全部极值点，也可能漏掉连续追随者最优集合中的最大供给成本。</w:t>
      </w:r>
    </w:p>
    <w:p>
      <w:pPr>
        <w:widowControl/>
        <w:jc w:val="left"/>
      </w:pPr>
      <w:r>
        <w:rPr>
          <w:rFonts w:eastAsia="Songti SC"/>
          <w:b w:val="0"/>
        </w:rPr>
        <w:t>一般的悲观机制必须在相关电网目标下，对该响应集合进行优化，或规定可实施的选择规则。当前实现是在内生机组启停条件下评价冻结响应，没有求解一般策略性双层市场。三个省份的历史预测版本尚未准入。监管要求公布信息，不能证明某个具体历史预测在决策时已可供参与者取得。</w:t>
      </w:r>
    </w:p>
    <w:p>
      <w:pPr>
        <w:pStyle w:val="Heading1"/>
        <w:widowControl/>
      </w:pPr>
      <w:r>
        <w:rPr>
          <w:rFonts w:eastAsia="Heiti SC"/>
          <w:b w:val="0"/>
        </w:rPr>
        <w:t>S9 验证与剩余整合</w:t>
      </w:r>
    </w:p>
    <w:p>
      <w:pPr>
        <w:widowControl/>
      </w:pPr>
      <w:r>
        <w:rPr>
          <w:rFonts w:eastAsia="Songti SC"/>
          <w:b w:val="0"/>
        </w:rPr>
        <w:t>数学检查使用已知解析答案、独立枚举或独立重建，而非仅让同一函数与自身比较。不可行、未解决和成功案例保留不同状态。字段保持、来源日期、参考范围及原始哈希，与求解器行为分别审计。检查项数量不衡量实证重复程度。</w:t>
      </w:r>
    </w:p>
    <w:p>
      <w:pPr>
        <w:widowControl/>
        <w:jc w:val="left"/>
      </w:pPr>
      <w:r>
        <w:rPr>
          <w:rFonts w:eastAsia="Songti SC"/>
          <w:b w:val="0"/>
        </w:rPr>
        <w:t>当前来源恢复流程已在新克隆与隔离环境中对一条有限链条运行，并使用显式审读的电价网页版本。尚未证明每份历史原始字节均可精确恢复，也未完成整篇论文在第二台机器上的复现。当前包每个文件都有清单项；外部原始归档和预处理数组仍需各自恢复。</w:t>
      </w:r>
    </w:p>
    <w:p>
      <w:pPr>
        <w:widowControl/>
        <w:jc w:val="left"/>
      </w:pPr>
      <w:r>
        <w:rPr>
          <w:rFonts w:eastAsia="Songti SC"/>
          <w:b w:val="0"/>
        </w:rPr>
        <w:t>完整省级实验仍未完成：匹配有效工作质量与同硬件功率，取得实际服务和拓扑要求，解决供热、工业、水、需求及交换边界，在历史信息条件下评价机制，选定一次投资并在完整留出年份与压力事件中保持不变。随后须以唯一权威结果集交叉核对主文、最终图、最终补充数据、参考文献及投稿信。</w:t>
      </w:r>
    </w:p>
    <w:p>
      <w:pPr>
        <w:pStyle w:val="Heading1"/>
        <w:pageBreakBefore/>
        <w:widowControl/>
      </w:pPr>
      <w:r>
        <w:rPr>
          <w:rFonts w:eastAsia="Heiti SC"/>
          <w:b w:val="0"/>
        </w:rPr>
        <w:t>图 S1</w:t>
      </w:r>
    </w:p>
    <w:p>
      <w:pPr>
        <w:widowControl/>
        <w:spacing w:after="100"/>
        <w:jc w:val="center"/>
      </w:pPr>
      <w:r>
        <w:rPr>
          <w:rFonts w:eastAsia="Songti SC"/>
        </w:rPr>
        <w:drawing>
          <wp:inline xmlns:a="http://schemas.openxmlformats.org/drawingml/2006/main" xmlns:pic="http://schemas.openxmlformats.org/drawingml/2006/picture">
            <wp:extent cx="6053328" cy="3884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quarterly_diagnosti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3328" cy="388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jc w:val="left"/>
      </w:pPr>
      <w:r>
        <w:rPr>
          <w:rFonts w:eastAsia="Songti SC"/>
          <w:b/>
        </w:rPr>
        <w:t>图 S1 年度吻合可能掩盖季节误差。</w:t>
      </w:r>
      <w:r>
        <w:rPr>
          <w:rFonts w:eastAsia="Songti SC"/>
          <w:b w:val="0"/>
        </w:rPr>
        <w:t xml:space="preserve"> 使用固定的 2022 年校准系数，将公司海上风电季度披露与参考转换曲线比较。通用曲线保留为已被物理判断否决的诊断对象。季度观测由累计披露重建，共享端点。这是公司范围与 H2 代理之间的探索性比较，不是经验证的省级小时风电供给。图沿用修订阶段 19，未改动。</w:t>
      </w:r>
    </w:p>
    <w:p>
      <w:pPr>
        <w:widowControl/>
        <w:jc w:val="left"/>
      </w:pPr>
      <w:r>
        <w:rPr>
          <w:rFonts w:eastAsia="Songti SC"/>
          <w:b w:val="0"/>
        </w:rPr>
        <w:t>图内常用术语：quarter 表示季度；generation 表示发电量；observed 表示观测；disclosed 表示披露；calibrated 表示经校准；generic 表示通用曲线；annual 表示年度；error 表示误差；NREL 为机构缩写。图内英文标签保留，数值与英文稿一致。</w:t>
      </w:r>
    </w:p>
    <w:p>
      <w:pPr>
        <w:pStyle w:val="Heading1"/>
        <w:widowControl/>
      </w:pPr>
      <w:r>
        <w:rPr>
          <w:rFonts w:eastAsia="Heiti SC"/>
          <w:b w:val="0"/>
        </w:rPr>
        <w:t>S10 外部基准提取的纠正</w:t>
      </w:r>
    </w:p>
    <w:p>
      <w:pPr>
        <w:widowControl/>
        <w:jc w:val="left"/>
      </w:pPr>
      <w:r>
        <w:rPr>
          <w:rFonts w:eastAsia="Songti SC"/>
          <w:b w:val="0"/>
        </w:rPr>
        <w:t>MLCommons Inference v4.0 仓库固定于提交 343c3d2cb03f2ae02b1023a44e4a45ba4b8422ef。按基准任务、精度档位及场景，匹配 NVIDIA DGX-H100_H100-SXM-80GBx8_TRT 与其 MaxQ 变体。除系统名称外，两份系统说明一致。这证明提交说明匹配，不代表独立检查过硬件身份。</w:t>
      </w:r>
    </w:p>
    <w:p>
      <w:pPr>
        <w:widowControl/>
        <w:jc w:val="left"/>
      </w:pPr>
      <w:r>
        <w:rPr>
          <w:rFonts w:eastAsia="Songti SC"/>
          <w:b w:val="0"/>
        </w:rPr>
        <w:t>将配置类解析为语法树，不执行供应商代码。当前类缺少 power_limit 赋值时，沿具名父类解析；不支持或有歧义的继承关系被拒绝。阶段 37 的四行错误使用了其他硬件类的功率上限：DLRM-v2-99.9 的 Offline/Server 及 Llama2-70b-99.9 的 Offline/Server 均应为 450 W。性能比值不受影响。</w:t>
      </w:r>
    </w:p>
    <w:p>
      <w:pPr>
        <w:widowControl/>
        <w:jc w:val="left"/>
      </w:pPr>
      <w:r>
        <w:rPr>
          <w:rFonts w:eastAsia="Songti SC"/>
          <w:b w:val="0"/>
        </w:rPr>
        <w:t>对每次限功率运行，从 mlperf_log_detail.txt 读取 power_begin 和 power_end，选择 run_1/spl.txt 中落在含两端点区间内的总功率 Watts 样本。只对总通道取一次均值；再次累加子通道会重复计能。样本时间必须递增，功率必须为正，并覆盖两端边界；不作外推。日期按提交中的月—日—年格式解析，使用原时间戳，不推断时区平移。时钟同步仍依赖提交方的测量过程。</w:t>
      </w:r>
    </w:p>
    <w:p>
      <w:pPr>
        <w:widowControl/>
        <w:jc w:val="left"/>
      </w:pPr>
      <w:r>
        <w:rPr>
          <w:rFonts w:eastAsia="Songti SC"/>
          <w:b w:val="0"/>
        </w:rPr>
        <w:t>24 条窗口样本均值为 4.115–5.960 kW，替代 v1.7 的 3.777–5.377 kW；旧均值使用更宽的会话区间，包含性能窗口外时间。独立十进制算术提取对每条窗口均值的重现误差均小于 1e-9 W，样本数完全相同。该容差检查算术，不是仪器不确定度。这些样本均值既不是共同时间范围内的能量估计，也不是重新认证的官方基准分数。</w:t>
      </w:r>
    </w:p>
    <w:p>
      <w:pPr>
        <w:widowControl/>
      </w:pPr>
      <w:r>
        <w:rPr>
          <w:rFonts w:eastAsia="Songti SC"/>
          <w:b w:val="0"/>
        </w:rPr>
        <w:t>完整 Git 树中，匹配的常规系统结果目录下没有 power 目录或 spl.txt，因此仍无法得到配对交流节能。精度文件存在，但未独立重跑或验证各模型的精度阈值。不同精度档位共享的运行不属于独立重复。</w:t>
      </w:r>
    </w:p>
    <w:p>
      <w:pPr>
        <w:widowControl/>
        <w:jc w:val="left"/>
      </w:pPr>
      <w:r>
        <w:rPr>
          <w:rFonts w:eastAsia="Songti SC"/>
          <w:b w:val="0"/>
        </w:rPr>
        <w:t>来源：MLCommons Inference v4.0 结果仓库，</w:t>
      </w:r>
      <w:r>
        <w:rPr>
          <w:rFonts w:eastAsia="Songti SC"/>
          <w:color w:val="1F4E79"/>
          <w:u w:val="single"/>
        </w:rPr>
        <w:t>https://github.com/mlcommons/inference_results_v4.0</w:t>
      </w:r>
      <w:r>
        <w:rPr>
          <w:rFonts w:eastAsia="Songti SC"/>
          <w:b w:val="0"/>
        </w:rPr>
        <w:t xml:space="preserve"> ，固定提交见上；MLCommons 功率测量规则，</w:t>
      </w:r>
      <w:r>
        <w:rPr>
          <w:rFonts w:eastAsia="Songti SC"/>
          <w:color w:val="1F4E79"/>
          <w:u w:val="single"/>
        </w:rPr>
        <w:t>https://github.com/mlcommons/inference_policies/blob/master/power_measurement.adoc</w:t>
      </w:r>
      <w:r>
        <w:rPr>
          <w:rFonts w:eastAsia="Songti SC"/>
          <w:b w:val="0"/>
        </w:rPr>
        <w:t xml:space="preserve"> ，访问日期为 2026 年 9 月 27 日。逐行来源哈希随纠错记录提供。</w:t>
      </w:r>
    </w:p>
    <w:p>
      <w:pPr>
        <w:pStyle w:val="Heading1"/>
        <w:widowControl/>
      </w:pPr>
      <w:r>
        <w:rPr>
          <w:rFonts w:eastAsia="Heiti SC"/>
          <w:b w:val="0"/>
        </w:rPr>
        <w:t>S11 前瞻性现场证据与设备放置验证</w:t>
      </w:r>
    </w:p>
    <w:p>
      <w:pPr>
        <w:widowControl/>
        <w:jc w:val="left"/>
      </w:pPr>
      <w:r>
        <w:rPr>
          <w:rFonts w:eastAsia="Songti SC"/>
          <w:b w:val="0"/>
        </w:rPr>
        <w:t>现场实验尚未开展。数据接收要求包括共同节点上的两组策略、全部电源交流输入、固定有效工作、质量准则、随机化配对重复、完整范围内的空闲与控制开销，以及冻结的停止规则。现有测量方案定义了这些要求。空白 CSV 表头是结构模板，不是测量数据。</w:t>
      </w:r>
    </w:p>
    <w:p>
      <w:pPr>
        <w:widowControl/>
        <w:jc w:val="left"/>
      </w:pPr>
      <w:r>
        <w:rPr>
          <w:rFonts w:eastAsia="Songti SC"/>
          <w:b w:val="0"/>
        </w:rPr>
        <w:t>服务记录须将每个任务关联到任务到达时生效的版本化契约。释放时刻、截止时间、延迟分位数或违约阈值、质量要求及证据来源必须明确。历史完成时间加分析者指定宽限，不能填入契约截止时间字段。匿名但稳定的任务和节点编号可保持关联，无须公开客户身份或合同原文。</w:t>
      </w:r>
    </w:p>
    <w:p>
      <w:pPr>
        <w:widowControl/>
        <w:jc w:val="left"/>
      </w:pPr>
      <w:r>
        <w:rPr>
          <w:rFonts w:eastAsia="Songti SC"/>
          <w:b w:val="0"/>
        </w:rPr>
        <w:t>设备放置验证还需要每个 GPU 的身份和型号、显存与可用性、所属节点、互联端点及链路容量，以及带时间戳的任务—设备分配。并行组必须同时获得所需设备；须在该放置下检查通信和显存约束。仅有空闲 GPU 总数不能证明可部署。本版没有实际契约或拓扑记录。</w:t>
      </w:r>
    </w:p>
    <w:p>
      <w:pPr>
        <w:pStyle w:val="Heading1"/>
        <w:widowControl/>
      </w:pPr>
      <w:r>
        <w:rPr>
          <w:rFonts w:eastAsia="Heiti SC"/>
          <w:b w:val="0"/>
        </w:rPr>
        <w:t>S12 省级输入准入与全年评价</w:t>
      </w:r>
    </w:p>
    <w:p>
      <w:pPr>
        <w:widowControl/>
        <w:jc w:val="left"/>
      </w:pPr>
      <w:r>
        <w:rPr>
          <w:rFonts w:eastAsia="Songti SC"/>
          <w:b w:val="0"/>
        </w:rPr>
        <w:t>开展省级实验前，负荷序列必须具有明确的统计边界、单位、时区、实际日历，以及 AI 群体属于嵌入还是新增的处理。按年度总量缩放历史形状所得序列属于构造数据，不是小时需求实测。省级资产必须匹配身份、技术、容量年代、退役或投运状态及运行约束。工业总装机不是电网净外送；适用时供热义务和共享工艺燃料必须保留。交换需要方向性能力及同时发生的潮流，或明确的情景约束。水库来水、可用库容、水头/效率及下泄要求必须具有兼容物理边界。</w:t>
      </w:r>
    </w:p>
    <w:p>
      <w:pPr>
        <w:widowControl/>
        <w:jc w:val="left"/>
      </w:pPr>
      <w:r>
        <w:rPr>
          <w:rFonts w:eastAsia="Songti SC"/>
          <w:b w:val="0"/>
        </w:rPr>
        <w:t>可再生能源曲线需要匹配陆上风电、海上风电或光伏技术、设备假设、容量年代、气象来源、转换与损失，以及相同机组群和电表范围的观测。年度吻合本身不能验证小时可靠性。现有候选清单没有关闭全部准入要求。配套省级登记表记录已有和缺失内容，不能替代输入数据集。</w:t>
      </w:r>
    </w:p>
    <w:p>
      <w:pPr>
        <w:widowControl/>
        <w:jc w:val="left"/>
      </w:pPr>
      <w:r>
        <w:rPr>
          <w:rFonts w:eastAsia="Songti SC"/>
          <w:b w:val="0"/>
        </w:rPr>
        <w:t>前瞻性评价顺序为：（1）准入输入并记录哈希，定义开发/测试划分，记录所有既往接触；（2）仅使用开发数据选择策略、超参数和投资；（3）冻结发电、网络和储能投资；（4）逐小时评价每个测试年，不重新拟合投资；（5）保留能量状态连续性及初末条件，服务同一工作量，记录不可行和未解决案例；（6）报告最小未供电量、缺电小时、成本、排放、服务违约和求解间隙；（7）评价预先声明的压力和故障情景。闰年为 8,784 小时，其他年份为 8,760 小时。</w:t>
      </w:r>
    </w:p>
    <w:p>
      <w:pPr>
        <w:widowControl/>
        <w:jc w:val="left"/>
      </w:pPr>
      <w:r>
        <w:rPr>
          <w:rFonts w:eastAsia="Songti SC"/>
          <w:b w:val="0"/>
        </w:rPr>
        <w:t>已实现的年度评价器首先最小化未供电量，再在该缺电水平上最小化运行成本。合成测试覆盖完整年份、二元启停及跨午夜储能，但不能证明省级实证可靠性。完美预知调度属于乐观诊断，不能替代使用归档预测的因果调度。确定性缺电小时不是随机失负荷期望（LOLE）。随机充裕性主张还需要故障分布、依赖关系，以及明确的抽样和不确定性处理。</w:t>
      </w:r>
    </w:p>
    <w:p>
      <w:pPr>
        <w:widowControl/>
      </w:pPr>
      <w:r>
        <w:rPr>
          <w:rFonts w:eastAsia="Songti SC"/>
          <w:b w:val="0"/>
        </w:rPr>
        <w:t>本版没有指定未接触过的测试年份：2015–2024 年天气已经检查。未来留出期或独立封存数据必须在查看其结果之前选择。对已检查时段的任何评价必须标为回顾性或探索性。由于物理输入尚未准入，省级全年验证仍未执行。</w:t>
      </w:r>
    </w:p>
    <w:p>
      <w:pPr>
        <w:pStyle w:val="Heading1"/>
        <w:widowControl/>
      </w:pPr>
      <w:r>
        <w:rPr>
          <w:rFonts w:eastAsia="Heiti SC"/>
          <w:b w:val="0"/>
        </w:rPr>
        <w:t>S13 补充数据内容</w:t>
      </w:r>
    </w:p>
    <w:p>
      <w:pPr>
        <w:widowControl/>
        <w:jc w:val="left"/>
      </w:pPr>
      <w:r>
        <w:rPr>
          <w:rFonts w:eastAsia="Songti SC"/>
          <w:b w:val="0"/>
        </w:rPr>
        <w:t>补充数据 1 是审读工作簿，包含证据门槛登记、108 条通过验证的条件因子比较结果、24 条纠正后的外部基准记录和省级输入登记。这些属于不同证据类型。因子结果继承的百分比列使用 0–100 标度；性能保留率使用 0–1 比值。缺失实测能量和省级实证结果不以零代替。工作簿配套完整 CSV 副本和文件哈希。数据与主文定稿仍需解决剩余门槛。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077" w:left="107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Arial" w:hAnsi="Arial" w:eastAsia="Songti SC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spacing w:after="0"/>
      <w:jc w:val="left"/>
    </w:pPr>
    <w:r>
      <w:rPr>
        <w:rFonts w:ascii="Arial" w:hAnsi="Arial" w:eastAsia="Songti SC"/>
        <w:color w:val="5A5A5A"/>
        <w:sz w:val="17"/>
      </w:rPr>
      <w:t>补充信息  v1.8 中文审读版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8" w:after="120"/>
    </w:pPr>
    <w:rPr>
      <w:rFonts w:ascii="Times New Roman" w:hAnsi="Times New Roman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Theme="majorHAnsi" w:eastAsiaTheme="majorEastAsia" w:hAnsiTheme="majorHAnsi" w:cstheme="majorBidi" w:ascii="Arial" w:hAnsi="Arial" w:eastAsia="Heiti SC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服务约束下 AI 计算灵活性的补充方法</dc:title>
  <dc:subject>Chinese translation of v1.8 review edition, evidence through stage 38</dc:subject>
  <dc:creator>William Wei; Lanlan Liu</dc:creator>
  <cp:keywords/>
  <dc:description>Not a submission-ready empirical study. English reference and figure labels retained.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