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从技术灵活性到可兑现的电力系统价值ai-计算任务的服务约束恢复边界与激励"/>
    <w:p>
      <w:pPr>
        <w:pStyle w:val="Heading1"/>
      </w:pPr>
      <w:r>
        <w:rPr>
          <w:rFonts w:hint="eastAsia"/>
        </w:rPr>
        <w:t xml:space="preserve">从技术灵活性到可兑现的电力系统价值：AI</w:t>
      </w:r>
      <w:r>
        <w:t xml:space="preserve"> </w:t>
      </w:r>
      <w:r>
        <w:rPr>
          <w:rFonts w:hint="eastAsia"/>
        </w:rPr>
        <w:t xml:space="preserve">计算任务的服务约束、恢复边界与激励</w:t>
      </w:r>
    </w:p>
    <w:p>
      <w:pPr>
        <w:pStyle w:val="FirstParagraph"/>
      </w:pPr>
      <w:r>
        <w:rPr>
          <w:rFonts w:hint="eastAsia"/>
        </w:rPr>
        <w:t xml:space="preserve">工作题目，最终标题依据主要研究发现调整。</w:t>
      </w:r>
    </w:p>
    <w:p>
      <w:pPr>
        <w:pStyle w:val="BodyText"/>
      </w:pPr>
      <w:r>
        <w:rPr>
          <w:rFonts w:hint="eastAsia"/>
          <w:b/>
          <w:bCs/>
        </w:rPr>
        <w:t xml:space="preserve">版本：v0.9，2026-09-15。性质：研究工作稿，尚非完整论文或投稿稿。</w:t>
      </w:r>
    </w:p>
    <w:p>
      <w:pPr>
        <w:pStyle w:val="BodyText"/>
      </w:pPr>
      <w:r>
        <w:rPr>
          <w:rFonts w:hint="eastAsia"/>
        </w:rPr>
        <w:t xml:space="preserve">本稿的已完成部分是公开数据再分析、三套生产集群轨迹审计、计算任务与承诺成本模型、计算任务与电力投资运行联合求解器、水量守恒的梯级水电扩展及其数学验证、电力系统输入和可靠性资料审计、选区筛选，以及单省</w:t>
      </w:r>
      <w:r>
        <w:t xml:space="preserve"> S0/S0b/S1/S2 </w:t>
      </w:r>
      <w:r>
        <w:rPr>
          <w:rFonts w:hint="eastAsia"/>
        </w:rPr>
        <w:t xml:space="preserve">管线的未校准粗跑。中国电力系统结果、可靠容量价值和激励机制效果尚未产生；下文清楚区分已实现方法与待实施方法。此前</w:t>
      </w:r>
      <w:r>
        <w:t xml:space="preserve"> Mock </w:t>
      </w:r>
      <w:r>
        <w:rPr>
          <w:rFonts w:hint="eastAsia"/>
        </w:rPr>
        <w:t xml:space="preserve">的虚构数据未用于任何分析。</w:t>
      </w:r>
    </w:p>
    <w:bookmarkStart w:id="9" w:name="摘要当前证据与研究问题"/>
    <w:p>
      <w:pPr>
        <w:pStyle w:val="Heading2"/>
      </w:pPr>
      <w:r>
        <w:rPr>
          <w:rFonts w:hint="eastAsia"/>
        </w:rPr>
        <w:t xml:space="preserve">摘要：当前证据与研究问题</w:t>
      </w:r>
    </w:p>
    <w:p>
      <w:pPr>
        <w:pStyle w:val="FirstParagraph"/>
      </w:pPr>
      <w:r>
        <w:t xml:space="preserve">AI </w:t>
      </w:r>
      <w:r>
        <w:rPr>
          <w:rFonts w:hint="eastAsia"/>
        </w:rPr>
        <w:t xml:space="preserve">计算负荷可以通过调整功率和执行时间参与电力系统调节，但瞬时功率下降不自动意味着具有可履约的系统价值。本研究拟在同等计算服务与供电可靠性条件下，连接任务执行、系统规划和企业参与，分析技术调节能力的兑现边界。当前已复核公开实验中</w:t>
      </w:r>
      <w:r>
        <w:t xml:space="preserve"> 8 </w:t>
      </w:r>
      <w:r>
        <w:rPr>
          <w:rFonts w:hint="eastAsia"/>
        </w:rPr>
        <w:t xml:space="preserve">个配置、48</w:t>
      </w:r>
      <w:r>
        <w:t xml:space="preserve"> </w:t>
      </w:r>
      <w:r>
        <w:rPr>
          <w:rFonts w:hint="eastAsia"/>
        </w:rPr>
        <w:t xml:space="preserve">个功率—吞吐量记录，建立逐批任务到达与完成期限约束的确定性模型，并完成中国分省历史负荷及输电资料的一致性审计。公开实验再分析提供了局部功率—性能参数，但不能独立识别真实期限、恢复成本或全国可用性。任务与联合规划模型经手算、穷举及独立投资算例验证；真实地区的投资、排放、可靠性与机制效果仍待校准后的联合研究。因此本版摘要仅报告已完成工作，不给出尚未计算的总体效益。</w:t>
      </w:r>
    </w:p>
    <w:bookmarkEnd w:id="9"/>
    <w:bookmarkStart w:id="10" w:name="引言"/>
    <w:p>
      <w:pPr>
        <w:pStyle w:val="Heading2"/>
      </w:pPr>
      <w:r>
        <w:t xml:space="preserve">1. </w:t>
      </w:r>
      <w:r>
        <w:rPr>
          <w:rFonts w:hint="eastAsia"/>
        </w:rPr>
        <w:t xml:space="preserve">引言</w:t>
      </w:r>
    </w:p>
    <w:p>
      <w:pPr>
        <w:pStyle w:val="FirstParagraph"/>
      </w:pPr>
      <w:r>
        <w:t xml:space="preserve">AI </w:t>
      </w:r>
      <w:r>
        <w:rPr>
          <w:rFonts w:hint="eastAsia"/>
        </w:rPr>
        <w:t xml:space="preserve">计算与电力系统之间的协调同时涉及计算服务和电力供给。降低</w:t>
      </w:r>
      <w:r>
        <w:t xml:space="preserve"> GPU </w:t>
      </w:r>
      <w:r>
        <w:rPr>
          <w:rFonts w:hint="eastAsia"/>
        </w:rPr>
        <w:t xml:space="preserve">功率可能延长任务完成时间，转移任务可能占用其他地点的算力与供电容量，响应后的任务恢复则可能与新的紧缺时段重叠。评价其价值需要追踪计算任务在何时完成，以及调节行为如何改变电力需求的时间顺序。</w:t>
      </w:r>
    </w:p>
    <w:p>
      <w:pPr>
        <w:pStyle w:val="BodyText"/>
      </w:pPr>
      <w:r>
        <w:rPr>
          <w:rFonts w:hint="eastAsia"/>
        </w:rPr>
        <w:t xml:space="preserve">实际</w:t>
      </w:r>
      <w:r>
        <w:t xml:space="preserve"> AI </w:t>
      </w:r>
      <w:r>
        <w:rPr>
          <w:rFonts w:hint="eastAsia"/>
        </w:rPr>
        <w:t xml:space="preserve">集群的功率管理已有实验基础。Colangelo</w:t>
      </w:r>
      <w:r>
        <w:t xml:space="preserve"> </w:t>
      </w:r>
      <w:r>
        <w:rPr>
          <w:rFonts w:hint="eastAsia"/>
        </w:rPr>
        <w:t xml:space="preserve">等公开了不同计算配置的功率与性能资料，为参数化响应提供了实测来源，但这类实验不能直接替代跨地区全年运行和可靠性分析。[1]</w:t>
      </w:r>
      <w:r>
        <w:t xml:space="preserve"> </w:t>
      </w:r>
      <w:r>
        <w:rPr>
          <w:rFonts w:hint="eastAsia"/>
        </w:rPr>
        <w:t xml:space="preserve">数据中心在时间与空间上的负荷转移及市场补偿也已有正式建模研究。[2]</w:t>
      </w:r>
      <w:r>
        <w:t xml:space="preserve"> </w:t>
      </w:r>
      <w:r>
        <w:rPr>
          <w:rFonts w:hint="eastAsia"/>
        </w:rPr>
        <w:t xml:space="preserve">因此，本研究不将“数据中心可调节”或“灵活性需要补偿”作为独有贡献。</w:t>
      </w:r>
    </w:p>
    <w:p>
      <w:pPr>
        <w:pStyle w:val="BodyText"/>
      </w:pPr>
      <w:r>
        <w:rPr>
          <w:rFonts w:hint="eastAsia"/>
        </w:rPr>
        <w:t xml:space="preserve">系统成本与环境效果需要分别评价。既有规划研究已讨论灵活数据中心可能降低系统成本却增加排放的情形。[3]</w:t>
      </w:r>
      <w:r>
        <w:t xml:space="preserve"> </w:t>
      </w:r>
      <w:r>
        <w:rPr>
          <w:rFonts w:hint="eastAsia"/>
        </w:rPr>
        <w:t xml:space="preserve">中国跨区域计算迁移的工程研究也已计入冷却、通信和重复建设数据中心等因素。[4]</w:t>
      </w:r>
      <w:r>
        <w:t xml:space="preserve"> </w:t>
      </w:r>
      <w:r>
        <w:rPr>
          <w:rFonts w:hint="eastAsia"/>
        </w:rPr>
        <w:t xml:space="preserve">仅把既有模型改用中国场景，或增加一项迁移成本，尚不足以说明实质新增贡献。</w:t>
      </w:r>
    </w:p>
    <w:p>
      <w:pPr>
        <w:pStyle w:val="BodyText"/>
      </w:pPr>
      <w:r>
        <w:rPr>
          <w:rFonts w:hint="eastAsia"/>
        </w:rPr>
        <w:t xml:space="preserve">近期容量充裕性研究进一步分析了空间迁移、任务延期、功率调节及恢复约束，但其公开作者稿采用外生容量认定因子，并承认连续时序可靠性检验可能产生不同结果。[5]</w:t>
      </w:r>
      <w:r>
        <w:t xml:space="preserve"> </w:t>
      </w:r>
      <w:r>
        <w:rPr>
          <w:rFonts w:hint="eastAsia"/>
        </w:rPr>
        <w:t xml:space="preserve">本研究拟检验一个更具体的问题：在每批任务具有到达时间和完成期限、且恢复受到算力与电力双重约束时，技术响应与可兑现系统价值之间的差异是否改变规划及激励决策。该命题仍需完整文献对标及实证验证。</w:t>
      </w:r>
    </w:p>
    <w:p>
      <w:pPr>
        <w:pStyle w:val="BodyText"/>
      </w:pPr>
      <w:r>
        <w:rPr>
          <w:rFonts w:hint="eastAsia"/>
        </w:rPr>
        <w:t xml:space="preserve">研究围绕三个连续问题展开。第一，给定实际服务要求，能够提供多大、多久的响应，并承担怎样的恢复负荷？第二，同等服务和可靠性条件下，企业自主运行与系统协调的结果如何不同？第三，可验证的承诺和补偿能否改善企业参与并带来系统净收益？</w:t>
      </w:r>
    </w:p>
    <w:bookmarkEnd w:id="10"/>
    <w:bookmarkStart w:id="19" w:name="数据与证据层级"/>
    <w:p>
      <w:pPr>
        <w:pStyle w:val="Heading2"/>
      </w:pPr>
      <w:r>
        <w:t xml:space="preserve">2. </w:t>
      </w:r>
      <w:r>
        <w:rPr>
          <w:rFonts w:hint="eastAsia"/>
        </w:rPr>
        <w:t xml:space="preserve">数据与证据层级</w:t>
      </w:r>
    </w:p>
    <w:bookmarkStart w:id="11" w:name="公开实测功率与吞吐量"/>
    <w:p>
      <w:pPr>
        <w:pStyle w:val="Heading3"/>
      </w:pPr>
      <w:r>
        <w:t xml:space="preserve">2.1 </w:t>
      </w:r>
      <w:r>
        <w:rPr>
          <w:rFonts w:hint="eastAsia"/>
        </w:rPr>
        <w:t xml:space="preserve">公开实测功率与吞吐量</w:t>
      </w:r>
    </w:p>
    <w:p>
      <w:pPr>
        <w:pStyle w:val="FirstParagraph"/>
      </w:pPr>
      <w:r>
        <w:rPr>
          <w:rFonts w:hint="eastAsia"/>
        </w:rPr>
        <w:t xml:space="preserve">参数数据来自文献</w:t>
      </w:r>
      <w:r>
        <w:t xml:space="preserve"> [1] </w:t>
      </w:r>
      <w:r>
        <w:rPr>
          <w:rFonts w:hint="eastAsia"/>
        </w:rPr>
        <w:t xml:space="preserve">的公开仓库，固定版本为</w:t>
      </w:r>
      <w:r>
        <w:t xml:space="preserve"> </w:t>
      </w:r>
      <w:r>
        <w:rPr>
          <w:rStyle w:val="VerbatimChar"/>
        </w:rPr>
        <w:t xml:space="preserve">34403aef78c2690a8e4f0ba8f7f62d302cdba967</w:t>
      </w:r>
      <w:r>
        <w:t xml:space="preserve">。</w:t>
      </w:r>
      <w:r>
        <w:rPr>
          <w:rStyle w:val="VerbatimChar"/>
        </w:rPr>
        <w:t xml:space="preserve">dvfs_sweep.csv</w:t>
      </w:r>
      <w:r>
        <w:t xml:space="preserve"> </w:t>
      </w:r>
      <w:r>
        <w:rPr>
          <w:rFonts w:hint="eastAsia"/>
        </w:rPr>
        <w:t xml:space="preserve">包括</w:t>
      </w:r>
      <w:r>
        <w:t xml:space="preserve"> 8 </w:t>
      </w:r>
      <w:r>
        <w:rPr>
          <w:rFonts w:hint="eastAsia"/>
        </w:rPr>
        <w:t xml:space="preserve">种工作负载配置，每种对应</w:t>
      </w:r>
      <w:r>
        <w:t xml:space="preserve"> 100、200、250、300、350、400 W </w:t>
      </w:r>
      <w:r>
        <w:rPr>
          <w:rFonts w:hint="eastAsia"/>
        </w:rPr>
        <w:t xml:space="preserve">的</w:t>
      </w:r>
      <w:r>
        <w:t xml:space="preserve"> GPU </w:t>
      </w:r>
      <w:r>
        <w:rPr>
          <w:rFonts w:hint="eastAsia"/>
        </w:rPr>
        <w:t xml:space="preserve">功率上限。每行另有实测总</w:t>
      </w:r>
      <w:r>
        <w:t xml:space="preserve"> GPU </w:t>
      </w:r>
      <w:r>
        <w:rPr>
          <w:rFonts w:hint="eastAsia"/>
        </w:rPr>
        <w:t xml:space="preserve">功率和吞吐量。</w:t>
      </w:r>
    </w:p>
    <w:p>
      <w:pPr>
        <w:pStyle w:val="BodyText"/>
      </w:pPr>
      <w:r>
        <w:rPr>
          <w:rFonts w:hint="eastAsia"/>
        </w:rPr>
        <w:t xml:space="preserve">功率上限不等于实际功率。设配置</w:t>
      </w:r>
      <w:r>
        <w:t xml:space="preserve"> </w:t>
      </w:r>
      <w:r>
        <w:rPr>
          <w:rFonts w:hint="eastAsia"/>
        </w:rPr>
        <w:t xml:space="preserve">c、档位</w:t>
      </w:r>
      <w:r>
        <w:t xml:space="preserve"> m </w:t>
      </w:r>
      <w:r>
        <w:rPr>
          <w:rFonts w:hint="eastAsia"/>
        </w:rPr>
        <w:t xml:space="preserve">的实测功率为</w:t>
      </w:r>
      <w:r>
        <w:t xml:space="preserve"> </w:t>
      </w:r>
      <w:r>
        <w:rPr>
          <w:rFonts w:hint="eastAsia"/>
        </w:rPr>
        <w:t xml:space="preserve">p_cm，吞吐量为</w:t>
      </w:r>
      <w:r>
        <w:t xml:space="preserve"> </w:t>
      </w:r>
      <w:r>
        <w:rPr>
          <w:rFonts w:hint="eastAsia"/>
        </w:rPr>
        <w:t xml:space="preserve">q_cm，以该配置</w:t>
      </w:r>
      <w:r>
        <w:t xml:space="preserve"> 400 W </w:t>
      </w:r>
      <w:r>
        <w:rPr>
          <w:rFonts w:hint="eastAsia"/>
        </w:rPr>
        <w:t xml:space="preserve">上限档位作为参考，定义归一化吞吐量和功率比：</w:t>
      </w:r>
    </w:p>
    <w:p>
      <w:pPr>
        <w:pStyle w:val="BodyText"/>
      </w:pPr>
      <w:r>
        <w:t xml:space="preserve">[</w:t>
      </w:r>
      <w:r>
        <w:t xml:space="preserve"> </w:t>
      </w:r>
      <w:r>
        <w:t xml:space="preserve">q_{cm}=q_{cm}/q_{c,400},</w:t>
      </w:r>
      <w:r>
        <w:t xml:space="preserve">p_{cm}=p_{cm}/p_{c,400}.</w:t>
      </w:r>
      <w:r>
        <w:t xml:space="preserve"> </w:t>
      </w:r>
      <w:r>
        <w:t xml:space="preserve">]</w:t>
      </w:r>
    </w:p>
    <w:p>
      <w:pPr>
        <w:pStyle w:val="BodyText"/>
      </w:pPr>
      <w:r>
        <w:rPr>
          <w:rFonts w:hint="eastAsia"/>
        </w:rPr>
        <w:t xml:space="preserve">八个配置不代表八种独立抽样模型。三种推理配置在全部六档功率下的归一化吞吐量相同。尚缺重复实验及匹配的任务完成遥测，因此不报告基于独立重复观测的置信区间。</w:t>
      </w:r>
    </w:p>
    <w:bookmarkEnd w:id="11"/>
    <w:bookmarkStart w:id="12" w:name="中国分省输入"/>
    <w:p>
      <w:pPr>
        <w:pStyle w:val="Heading3"/>
      </w:pPr>
      <w:r>
        <w:t xml:space="preserve">2.2 </w:t>
      </w:r>
      <w:r>
        <w:rPr>
          <w:rFonts w:hint="eastAsia"/>
        </w:rPr>
        <w:t xml:space="preserve">中国分省输入</w:t>
      </w:r>
    </w:p>
    <w:p>
      <w:pPr>
        <w:pStyle w:val="FirstParagraph"/>
      </w:pPr>
      <w:r>
        <w:rPr>
          <w:rFonts w:hint="eastAsia"/>
        </w:rPr>
        <w:t xml:space="preserve">历史负荷来源为</w:t>
      </w:r>
      <w:r>
        <w:t xml:space="preserve"> Wu </w:t>
      </w:r>
      <w:r>
        <w:rPr>
          <w:rFonts w:hint="eastAsia"/>
        </w:rPr>
        <w:t xml:space="preserve">与</w:t>
      </w:r>
      <w:r>
        <w:t xml:space="preserve"> Kan </w:t>
      </w:r>
      <w:r>
        <w:rPr>
          <w:rFonts w:hint="eastAsia"/>
        </w:rPr>
        <w:t xml:space="preserve">的</w:t>
      </w:r>
      <w:r>
        <w:t xml:space="preserve"> 2018 </w:t>
      </w:r>
      <w:r>
        <w:rPr>
          <w:rFonts w:hint="eastAsia"/>
        </w:rPr>
        <w:t xml:space="preserve">年重构数据集，覆盖</w:t>
      </w:r>
      <w:r>
        <w:t xml:space="preserve"> 31 </w:t>
      </w:r>
      <w:r>
        <w:rPr>
          <w:rFonts w:hint="eastAsia"/>
        </w:rPr>
        <w:t xml:space="preserve">省和全年</w:t>
      </w:r>
      <w:r>
        <w:t xml:space="preserve"> 8,760 </w:t>
      </w:r>
      <w:r>
        <w:rPr>
          <w:rFonts w:hint="eastAsia"/>
        </w:rPr>
        <w:t xml:space="preserve">小时，许可为</w:t>
      </w:r>
      <w:r>
        <w:t xml:space="preserve"> CC BY 4.0。[6] </w:t>
      </w:r>
      <w:r>
        <w:rPr>
          <w:rFonts w:hint="eastAsia"/>
        </w:rPr>
        <w:t xml:space="preserve">其重构采用每日峰谷和代表性日曲线，而非原始逐小时计量。与固定版本</w:t>
      </w:r>
      <w:r>
        <w:t xml:space="preserve"> PyPSA-China </w:t>
      </w:r>
      <w:r>
        <w:rPr>
          <w:rFonts w:hint="eastAsia"/>
        </w:rPr>
        <w:t xml:space="preserve">的同源负荷文件进行完整数值比对，确认重排及代码映射后全部一致。[7]</w:t>
      </w:r>
    </w:p>
    <w:p>
      <w:pPr>
        <w:pStyle w:val="BodyText"/>
      </w:pPr>
      <w:r>
        <w:rPr>
          <w:rFonts w:hint="eastAsia"/>
        </w:rPr>
        <w:t xml:space="preserve">输电资料所标年份为</w:t>
      </w:r>
      <w:r>
        <w:t xml:space="preserve"> 2022 </w:t>
      </w:r>
      <w:r>
        <w:rPr>
          <w:rFonts w:hint="eastAsia"/>
        </w:rPr>
        <w:t xml:space="preserve">年，与负荷年份不同。已发现分类名称、线路与矩阵、省份端点方面的冲突。现阶段保留原始输入与问题记录；尚未建立可用于中国系统结论的已验证网络。历史负荷序列和未来增长预测也不混用为观测量。</w:t>
      </w:r>
    </w:p>
    <w:bookmarkEnd w:id="12"/>
    <w:bookmarkStart w:id="13" w:name="真实请求到达轨迹"/>
    <w:p>
      <w:pPr>
        <w:pStyle w:val="Heading3"/>
      </w:pPr>
      <w:r>
        <w:t xml:space="preserve">2.3 </w:t>
      </w:r>
      <w:r>
        <w:rPr>
          <w:rFonts w:hint="eastAsia"/>
        </w:rPr>
        <w:t xml:space="preserve">真实请求到达轨迹</w:t>
      </w:r>
    </w:p>
    <w:p>
      <w:pPr>
        <w:pStyle w:val="FirstParagraph"/>
      </w:pPr>
      <w:r>
        <w:rPr>
          <w:rFonts w:hint="eastAsia"/>
        </w:rPr>
        <w:t xml:space="preserve">已取得</w:t>
      </w:r>
      <w:r>
        <w:t xml:space="preserve"> BurstGPT v2.0 </w:t>
      </w:r>
      <w:r>
        <w:rPr>
          <w:rFonts w:hint="eastAsia"/>
        </w:rPr>
        <w:t xml:space="preserve">第一部分</w:t>
      </w:r>
      <w:r>
        <w:t xml:space="preserve"> 1,429,737 </w:t>
      </w:r>
      <w:r>
        <w:rPr>
          <w:rFonts w:hint="eastAsia"/>
        </w:rPr>
        <w:t xml:space="preserve">条请求元数据，许可</w:t>
      </w:r>
      <w:r>
        <w:t xml:space="preserve"> CC BY </w:t>
      </w:r>
      <w:r>
        <w:rPr>
          <w:rFonts w:hint="eastAsia"/>
        </w:rPr>
        <w:t xml:space="preserve">4.0，校验值与发布元数据一致。[8]</w:t>
      </w:r>
      <w:r>
        <w:t xml:space="preserve"> </w:t>
      </w:r>
      <w:r>
        <w:rPr>
          <w:rFonts w:hint="eastAsia"/>
        </w:rPr>
        <w:t xml:space="preserve">固定文件包含相对提交时间、模型标签、输入／输出／总</w:t>
      </w:r>
      <w:r>
        <w:t xml:space="preserve"> token </w:t>
      </w:r>
      <w:r>
        <w:rPr>
          <w:rFonts w:hint="eastAsia"/>
        </w:rPr>
        <w:t xml:space="preserve">数以及调用类型。记录没有服务期限、GPU</w:t>
      </w:r>
      <w:r>
        <w:t xml:space="preserve"> </w:t>
      </w:r>
      <w:r>
        <w:rPr>
          <w:rFonts w:hint="eastAsia"/>
        </w:rPr>
        <w:t xml:space="preserve">功率或硬件配置；也没有当前说明页宣布的会话编号和响应耗时字段。相同字段的重复行保留，避免在缺少唯一请求</w:t>
      </w:r>
      <w:r>
        <w:t xml:space="preserve"> ID </w:t>
      </w:r>
      <w:r>
        <w:rPr>
          <w:rFonts w:hint="eastAsia"/>
        </w:rPr>
        <w:t xml:space="preserve">时误删真实请求。零输出行保留在到达统计中，与成功完成服务分开处理。</w:t>
      </w:r>
    </w:p>
    <w:p>
      <w:pPr>
        <w:pStyle w:val="BodyText"/>
      </w:pPr>
      <w:r>
        <w:rPr>
          <w:rFonts w:hint="eastAsia"/>
        </w:rPr>
        <w:t xml:space="preserve">目前只进行请求到达和</w:t>
      </w:r>
      <w:r>
        <w:t xml:space="preserve"> token </w:t>
      </w:r>
      <w:r>
        <w:rPr>
          <w:rFonts w:hint="eastAsia"/>
        </w:rPr>
        <w:t xml:space="preserve">长度的描述分析，尚未将其与公开</w:t>
      </w:r>
      <w:r>
        <w:t xml:space="preserve"> GPU </w:t>
      </w:r>
      <w:r>
        <w:rPr>
          <w:rFonts w:hint="eastAsia"/>
        </w:rPr>
        <w:t xml:space="preserve">档位直接拼接为实测工作负载。后续映射须区分模型、预填充与解码计算，校准相应硬件，并将不可观察的服务期限列为假设。</w:t>
      </w:r>
    </w:p>
    <w:bookmarkEnd w:id="13"/>
    <w:bookmarkStart w:id="14" w:name="归档时序输入与官方可靠性资料"/>
    <w:p>
      <w:pPr>
        <w:pStyle w:val="Heading3"/>
      </w:pPr>
      <w:r>
        <w:t xml:space="preserve">2.4 </w:t>
      </w:r>
      <w:r>
        <w:rPr>
          <w:rFonts w:hint="eastAsia"/>
        </w:rPr>
        <w:t xml:space="preserve">归档时序输入与官方可靠性资料</w:t>
      </w:r>
    </w:p>
    <w:p>
      <w:pPr>
        <w:pStyle w:val="FirstParagraph"/>
      </w:pPr>
      <w:r>
        <w:rPr>
          <w:rFonts w:hint="eastAsia"/>
        </w:rPr>
        <w:t xml:space="preserve">新增从</w:t>
      </w:r>
      <w:r>
        <w:t xml:space="preserve"> PyPSA-China V3.0 </w:t>
      </w:r>
      <w:r>
        <w:rPr>
          <w:rFonts w:hint="eastAsia"/>
        </w:rPr>
        <w:t xml:space="preserve">的公开归档取得</w:t>
      </w:r>
      <w:r>
        <w:t xml:space="preserve"> 2020 </w:t>
      </w:r>
      <w:r>
        <w:rPr>
          <w:rFonts w:hint="eastAsia"/>
        </w:rPr>
        <w:t xml:space="preserve">年</w:t>
      </w:r>
      <w:r>
        <w:t xml:space="preserve"> 8,784 </w:t>
      </w:r>
      <w:r>
        <w:rPr>
          <w:rFonts w:hint="eastAsia"/>
        </w:rPr>
        <w:t xml:space="preserve">小时风光出力和负荷输入。[9]</w:t>
      </w:r>
      <w:r>
        <w:t xml:space="preserve"> </w:t>
      </w:r>
      <w:r>
        <w:rPr>
          <w:rFonts w:hint="eastAsia"/>
        </w:rPr>
        <w:t xml:space="preserve">采用选择性下载并核验归档成员的长度与</w:t>
      </w:r>
      <w:r>
        <w:t xml:space="preserve"> </w:t>
      </w:r>
      <w:r>
        <w:rPr>
          <w:rFonts w:hint="eastAsia"/>
        </w:rPr>
        <w:t xml:space="preserve">CRC32，同时保存本地</w:t>
      </w:r>
      <w:r>
        <w:t xml:space="preserve"> </w:t>
      </w:r>
      <w:r>
        <w:rPr>
          <w:rFonts w:hint="eastAsia"/>
        </w:rPr>
        <w:t xml:space="preserve">SHA-256；未下载全部</w:t>
      </w:r>
      <w:r>
        <w:t xml:space="preserve"> 16.9 GB </w:t>
      </w:r>
      <w:r>
        <w:rPr>
          <w:rFonts w:hint="eastAsia"/>
        </w:rPr>
        <w:t xml:space="preserve">归档，不宣称完成整包哈希校验。</w:t>
      </w:r>
    </w:p>
    <w:p>
      <w:pPr>
        <w:pStyle w:val="BodyText"/>
      </w:pPr>
      <w:r>
        <w:rPr>
          <w:rFonts w:hint="eastAsia"/>
        </w:rPr>
        <w:t xml:space="preserve">风光包含</w:t>
      </w:r>
      <w:r>
        <w:t xml:space="preserve"> 31 </w:t>
      </w:r>
      <w:r>
        <w:rPr>
          <w:rFonts w:hint="eastAsia"/>
        </w:rPr>
        <w:t xml:space="preserve">省陆上风电和光伏、11</w:t>
      </w:r>
      <w:r>
        <w:t xml:space="preserve"> </w:t>
      </w:r>
      <w:r>
        <w:rPr>
          <w:rFonts w:hint="eastAsia"/>
        </w:rPr>
        <w:t xml:space="preserve">省海上风电。归档代码对原始天气时间加</w:t>
      </w:r>
      <w:r>
        <w:t xml:space="preserve"> 8 </w:t>
      </w:r>
      <w:r>
        <w:rPr>
          <w:rFonts w:hint="eastAsia"/>
        </w:rPr>
        <w:t xml:space="preserve">小时，并在消费侧按上海时区解释；数值文件本身不带时区属性，因此保留这一解释依据。负荷年总量与归档的年度需求表精确对应，移除闰日后与</w:t>
      </w:r>
      <w:r>
        <w:t xml:space="preserve"> 2018 </w:t>
      </w:r>
      <w:r>
        <w:rPr>
          <w:rFonts w:hint="eastAsia"/>
        </w:rPr>
        <w:t xml:space="preserve">年同省曲线的最低相关系数超过</w:t>
      </w:r>
      <w:r>
        <w:t xml:space="preserve"> </w:t>
      </w:r>
      <w:r>
        <w:rPr>
          <w:rFonts w:hint="eastAsia"/>
        </w:rPr>
        <w:t xml:space="preserve">0.99999；这种高度同源的形状不能当作独立的</w:t>
      </w:r>
      <w:r>
        <w:t xml:space="preserve"> 2020 </w:t>
      </w:r>
      <w:r>
        <w:rPr>
          <w:rFonts w:hint="eastAsia"/>
        </w:rPr>
        <w:t xml:space="preserve">年观测验证。</w:t>
      </w:r>
    </w:p>
    <w:p>
      <w:pPr>
        <w:pStyle w:val="BodyText"/>
      </w:pPr>
      <w:r>
        <w:rPr>
          <w:rFonts w:hint="eastAsia"/>
        </w:rPr>
        <w:t xml:space="preserve">源模型中的“其他已有水电”曲线为</w:t>
      </w:r>
      <w:r>
        <w:t xml:space="preserve"> 8,760 </w:t>
      </w:r>
      <w:r>
        <w:rPr>
          <w:rFonts w:hint="eastAsia"/>
        </w:rPr>
        <w:t xml:space="preserve">小时，缺少闰日，且</w:t>
      </w:r>
      <w:r>
        <w:t xml:space="preserve"> 31 </w:t>
      </w:r>
      <w:r>
        <w:rPr>
          <w:rFonts w:hint="eastAsia"/>
        </w:rPr>
        <w:t xml:space="preserve">省使用相同归一化曲线。大型水库在原模型中另行处理，不能把这一数据集当成全部水电。准备文件保留</w:t>
      </w:r>
      <w:r>
        <w:t xml:space="preserve"> 8,784 </w:t>
      </w:r>
      <w:r>
        <w:rPr>
          <w:rFonts w:hint="eastAsia"/>
        </w:rPr>
        <w:t xml:space="preserve">小时时间轴和缺失掩码，没有把缺失值填成零。</w:t>
      </w:r>
    </w:p>
    <w:p>
      <w:pPr>
        <w:pStyle w:val="BodyText"/>
      </w:pPr>
      <w:r>
        <w:rPr>
          <w:rFonts w:hint="eastAsia"/>
        </w:rPr>
        <w:t xml:space="preserve">与官方</w:t>
      </w:r>
      <w:r>
        <w:t xml:space="preserve"> 2020 </w:t>
      </w:r>
      <w:r>
        <w:rPr>
          <w:rFonts w:hint="eastAsia"/>
        </w:rPr>
        <w:t xml:space="preserve">年统计的总量对照显示，源模型负荷高约</w:t>
      </w:r>
      <w:r>
        <w:t xml:space="preserve"> </w:t>
      </w:r>
      <w:r>
        <w:rPr>
          <w:rFonts w:hint="eastAsia"/>
        </w:rPr>
        <w:t xml:space="preserve">1.02%，装机分项直接求和得到的风电低约</w:t>
      </w:r>
      <w:r>
        <w:t xml:space="preserve"> </w:t>
      </w:r>
      <w:r>
        <w:rPr>
          <w:rFonts w:hint="eastAsia"/>
        </w:rPr>
        <w:t xml:space="preserve">13.70%、核电高约</w:t>
      </w:r>
      <w:r>
        <w:t xml:space="preserve"> </w:t>
      </w:r>
      <w:r>
        <w:rPr>
          <w:rFonts w:hint="eastAsia"/>
        </w:rPr>
        <w:t xml:space="preserve">9.53%。这说明资产年代、退役和统计范围必须先统一，不能把读取成功视为基年回测通过。[10–11]</w:t>
      </w:r>
    </w:p>
    <w:bookmarkEnd w:id="14"/>
    <w:bookmarkStart w:id="15" w:name="年分省年度负荷锚定与时间结构诊断"/>
    <w:p>
      <w:pPr>
        <w:pStyle w:val="Heading3"/>
      </w:pPr>
      <w:r>
        <w:t xml:space="preserve">2.5 2020 </w:t>
      </w:r>
      <w:r>
        <w:rPr>
          <w:rFonts w:hint="eastAsia"/>
        </w:rPr>
        <w:t xml:space="preserve">年分省年度负荷锚定与时间结构诊断</w:t>
      </w:r>
    </w:p>
    <w:p>
      <w:pPr>
        <w:pStyle w:val="FirstParagraph"/>
      </w:pPr>
      <w:r>
        <w:rPr>
          <w:rFonts w:hint="eastAsia"/>
        </w:rPr>
        <w:t xml:space="preserve">为推进地区基年回测，手工转录《中国统计年鉴</w:t>
      </w:r>
      <w:r>
        <w:t xml:space="preserve"> </w:t>
      </w:r>
      <w:r>
        <w:rPr>
          <w:rFonts w:hint="eastAsia"/>
        </w:rPr>
        <w:t xml:space="preserve">2021》表</w:t>
      </w:r>
      <w:r>
        <w:t xml:space="preserve"> 9-14 </w:t>
      </w:r>
      <w:r>
        <w:rPr>
          <w:rFonts w:hint="eastAsia"/>
        </w:rPr>
        <w:t xml:space="preserve">的</w:t>
      </w:r>
      <w:r>
        <w:t xml:space="preserve"> 31 </w:t>
      </w:r>
      <w:r>
        <w:rPr>
          <w:rFonts w:hint="eastAsia"/>
        </w:rPr>
        <w:t xml:space="preserve">个省份</w:t>
      </w:r>
      <w:r>
        <w:t xml:space="preserve"> 2020 </w:t>
      </w:r>
      <w:r>
        <w:rPr>
          <w:rFonts w:hint="eastAsia"/>
        </w:rPr>
        <w:t xml:space="preserve">年全社会用电量，并逐项保留原表的</w:t>
      </w:r>
      <w:r>
        <w:t xml:space="preserve"> 0.1 </w:t>
      </w:r>
      <w:r>
        <w:rPr>
          <w:rFonts w:hint="eastAsia"/>
        </w:rPr>
        <w:t xml:space="preserve">亿千瓦时精度。[20]</w:t>
      </w:r>
      <w:r>
        <w:t xml:space="preserve"> </w:t>
      </w:r>
      <w:r>
        <w:rPr>
          <w:rFonts w:hint="eastAsia"/>
        </w:rPr>
        <w:t xml:space="preserve">分省合计为</w:t>
      </w:r>
      <w:r>
        <w:t xml:space="preserve"> 7,521.4 </w:t>
      </w:r>
      <w:r>
        <w:rPr>
          <w:rFonts w:hint="eastAsia"/>
        </w:rPr>
        <w:t xml:space="preserve">TWh；它与另一份国家能源局答复中的全国值</w:t>
      </w:r>
      <w:r>
        <w:t xml:space="preserve"> 7,511.0 TWh </w:t>
      </w:r>
      <w:r>
        <w:rPr>
          <w:rFonts w:hint="eastAsia"/>
        </w:rPr>
        <w:t xml:space="preserve">相差</w:t>
      </w:r>
      <w:r>
        <w:t xml:space="preserve"> 10.4 </w:t>
      </w:r>
      <w:r>
        <w:rPr>
          <w:rFonts w:hint="eastAsia"/>
        </w:rPr>
        <w:t xml:space="preserve">TWh，超过</w:t>
      </w:r>
      <w:r>
        <w:t xml:space="preserve"> 31 </w:t>
      </w:r>
      <w:r>
        <w:rPr>
          <w:rFonts w:hint="eastAsia"/>
        </w:rPr>
        <w:t xml:space="preserve">个四舍五入单元与全国四舍五入单元可能造成的最大约</w:t>
      </w:r>
      <w:r>
        <w:t xml:space="preserve"> 1.6 TWh </w:t>
      </w:r>
      <w:r>
        <w:rPr>
          <w:rFonts w:hint="eastAsia"/>
        </w:rPr>
        <w:t xml:space="preserve">差异。因此两者暂不强行合并，模型保存分省统计作为地区校准目标，同时记录全国口径差异。</w:t>
      </w:r>
    </w:p>
    <w:p>
      <w:pPr>
        <w:pStyle w:val="BodyText"/>
      </w:pPr>
      <w:r>
        <w:rPr>
          <w:rFonts w:hint="eastAsia"/>
        </w:rPr>
        <w:t xml:space="preserve">将归档源模型的各省年度负荷按官方分省总量逐省缩放后，年度残差小于</w:t>
      </w:r>
      <w:r>
        <w:t xml:space="preserve"> (3.3 imes10^{-12}) </w:t>
      </w:r>
      <w:r>
        <w:rPr>
          <w:rFonts w:hint="eastAsia"/>
        </w:rPr>
        <w:t xml:space="preserve">TWh。这是输入锚定的算术结果，不是独立验证；它保留源模型原有的逐时形状。锚定前，31</w:t>
      </w:r>
      <w:r>
        <w:t xml:space="preserve"> </w:t>
      </w:r>
      <w:r>
        <w:rPr>
          <w:rFonts w:hint="eastAsia"/>
        </w:rPr>
        <w:t xml:space="preserve">省份相对官方年度值的无权平均绝对偏差为</w:t>
      </w:r>
      <w:r>
        <w:t xml:space="preserve"> </w:t>
      </w:r>
      <w:r>
        <w:rPr>
          <w:rFonts w:hint="eastAsia"/>
        </w:rPr>
        <w:t xml:space="preserve">3.75%，按用电量加权为</w:t>
      </w:r>
      <w:r>
        <w:t xml:space="preserve"> </w:t>
      </w:r>
      <w:r>
        <w:rPr>
          <w:rFonts w:hint="eastAsia"/>
        </w:rPr>
        <w:t xml:space="preserve">3.14%，9</w:t>
      </w:r>
      <w:r>
        <w:t xml:space="preserve"> </w:t>
      </w:r>
      <w:r>
        <w:rPr>
          <w:rFonts w:hint="eastAsia"/>
        </w:rPr>
        <w:t xml:space="preserve">个省份偏差超过</w:t>
      </w:r>
      <w:r>
        <w:t xml:space="preserve"> </w:t>
      </w:r>
      <w:r>
        <w:rPr>
          <w:rFonts w:hint="eastAsia"/>
        </w:rPr>
        <w:t xml:space="preserve">5%，最大绝对偏差出现在陕西（+13.91%）。</w:t>
      </w:r>
    </w:p>
    <w:p>
      <w:pPr>
        <w:pStyle w:val="BodyText"/>
      </w:pPr>
      <w:r>
        <w:rPr>
          <w:rFonts w:hint="eastAsia"/>
        </w:rPr>
        <w:t xml:space="preserve">江苏监管办公开的</w:t>
      </w:r>
      <w:r>
        <w:t xml:space="preserve"> 2020 </w:t>
      </w:r>
      <w:r>
        <w:rPr>
          <w:rFonts w:hint="eastAsia"/>
        </w:rPr>
        <w:t xml:space="preserve">年</w:t>
      </w:r>
      <w:r>
        <w:t xml:space="preserve"> 7、9、10、11 </w:t>
      </w:r>
      <w:r>
        <w:rPr>
          <w:rFonts w:hint="eastAsia"/>
        </w:rPr>
        <w:t xml:space="preserve">月及累计用电通报提供了未单独用于年度拟合的时间聚合检查。[21–24]</w:t>
      </w:r>
      <w:r>
        <w:t xml:space="preserve"> </w:t>
      </w:r>
      <w:r>
        <w:rPr>
          <w:rFonts w:hint="eastAsia"/>
        </w:rPr>
        <w:t xml:space="preserve">锚定后的源形状相对这些月度统计分别为</w:t>
      </w:r>
      <w:r>
        <w:t xml:space="preserve"> +9.15%、−6.35%、−7.34% </w:t>
      </w:r>
      <w:r>
        <w:rPr>
          <w:rFonts w:hint="eastAsia"/>
        </w:rPr>
        <w:t xml:space="preserve">和</w:t>
      </w:r>
      <w:r>
        <w:t xml:space="preserve"> </w:t>
      </w:r>
      <w:r>
        <w:rPr>
          <w:rFonts w:hint="eastAsia"/>
        </w:rPr>
        <w:t xml:space="preserve">−9.36%；累计</w:t>
      </w:r>
      <w:r>
        <w:t xml:space="preserve"> 1—7、1—9、1—10、1—11 </w:t>
      </w:r>
      <w:r>
        <w:rPr>
          <w:rFonts w:hint="eastAsia"/>
        </w:rPr>
        <w:t xml:space="preserve">月的偏差分别为</w:t>
      </w:r>
      <w:r>
        <w:t xml:space="preserve"> +7.35%、+3.46%、+2.37% </w:t>
      </w:r>
      <w:r>
        <w:rPr>
          <w:rFonts w:hint="eastAsia"/>
        </w:rPr>
        <w:t xml:space="preserve">和</w:t>
      </w:r>
      <w:r>
        <w:t xml:space="preserve"> </w:t>
      </w:r>
      <w:r>
        <w:rPr>
          <w:rFonts w:hint="eastAsia"/>
        </w:rPr>
        <w:t xml:space="preserve">+1.26%（具体值见审计表）。由于年度锚定总量包含这些月份，这些检验不是严格样本外预测；它们只表明年度吻合不能代替逐时、峰荷和季节结构验证。后续系统模型不得把该时间序列称为实测</w:t>
      </w:r>
      <w:r>
        <w:t xml:space="preserve"> 2020 </w:t>
      </w:r>
      <w:r>
        <w:rPr>
          <w:rFonts w:hint="eastAsia"/>
        </w:rPr>
        <w:t xml:space="preserve">年负荷，必须补充独立的逐时或峰荷资料，并在可靠性压力检验中保留其不确定性。</w:t>
      </w:r>
    </w:p>
    <w:p>
      <w:pPr>
        <w:pStyle w:val="BodyText"/>
      </w:pPr>
      <w:r>
        <w:rPr>
          <w:rFonts w:hint="eastAsia"/>
        </w:rPr>
        <w:t xml:space="preserve">另从国家能源局、中国电力企业联合会的《2020</w:t>
      </w:r>
      <w:r>
        <w:t xml:space="preserve"> </w:t>
      </w:r>
      <w:r>
        <w:rPr>
          <w:rFonts w:hint="eastAsia"/>
        </w:rPr>
        <w:t xml:space="preserve">年全国电力可靠性年度报告》提取了</w:t>
      </w:r>
      <w:r>
        <w:t xml:space="preserve"> 600 MW </w:t>
      </w:r>
      <w:r>
        <w:rPr>
          <w:rFonts w:hint="eastAsia"/>
        </w:rPr>
        <w:t xml:space="preserve">等级燃煤机组</w:t>
      </w:r>
      <w:r>
        <w:t xml:space="preserve"> 2016—2020 </w:t>
      </w:r>
      <w:r>
        <w:rPr>
          <w:rFonts w:hint="eastAsia"/>
        </w:rPr>
        <w:t xml:space="preserve">年指标、六区域燃煤机组指标及非计划停运时长分组。[12]</w:t>
      </w:r>
      <w:r>
        <w:t xml:space="preserve"> </w:t>
      </w:r>
      <w:r>
        <w:rPr>
          <w:rFonts w:hint="eastAsia"/>
        </w:rPr>
        <w:t xml:space="preserve">这些数据可作为校准目标，但等效可用系数、等效强迫停运率和非计划停运次数不能互换。非计划停运时长分布也不能直接用作仅含强迫故障的时长分布。</w:t>
      </w:r>
    </w:p>
    <w:bookmarkEnd w:id="15"/>
    <w:bookmarkStart w:id="16" w:name="核电基年输入的年份与统计范围核对"/>
    <w:p>
      <w:pPr>
        <w:pStyle w:val="Heading3"/>
      </w:pPr>
      <w:r>
        <w:t xml:space="preserve">2.5 </w:t>
      </w:r>
      <w:r>
        <w:rPr>
          <w:rFonts w:hint="eastAsia"/>
        </w:rPr>
        <w:t xml:space="preserve">核电基年输入的年份与统计范围核对</w:t>
      </w:r>
    </w:p>
    <w:p>
      <w:pPr>
        <w:pStyle w:val="FirstParagraph"/>
      </w:pPr>
      <w:r>
        <w:rPr>
          <w:rFonts w:hint="eastAsia"/>
        </w:rPr>
        <w:t xml:space="preserve">进一步将归档核电容量与官方逐机组资料逐省比对，发现归档中标为“2020”的</w:t>
      </w:r>
      <w:r>
        <w:t xml:space="preserve"> 31 </w:t>
      </w:r>
      <w:r>
        <w:rPr>
          <w:rFonts w:hint="eastAsia"/>
        </w:rPr>
        <w:t xml:space="preserve">个省级值，全部等于官方</w:t>
      </w:r>
      <w:r>
        <w:t xml:space="preserve"> 2021 </w:t>
      </w:r>
      <w:r>
        <w:rPr>
          <w:rFonts w:hint="eastAsia"/>
        </w:rPr>
        <w:t xml:space="preserve">年“首次装料后列入运行统计”的容量按</w:t>
      </w:r>
      <w:r>
        <w:t xml:space="preserve"> MW </w:t>
      </w:r>
      <w:r>
        <w:rPr>
          <w:rFonts w:hint="eastAsia"/>
        </w:rPr>
        <w:t xml:space="preserve">取整结果，合计分别为</w:t>
      </w:r>
      <w:r>
        <w:t xml:space="preserve"> 54,647 MW </w:t>
      </w:r>
      <w:r>
        <w:rPr>
          <w:rFonts w:hint="eastAsia"/>
        </w:rPr>
        <w:t xml:space="preserve">与</w:t>
      </w:r>
      <w:r>
        <w:t xml:space="preserve"> 54,646.95 MWe。[14–15] </w:t>
      </w:r>
      <w:r>
        <w:rPr>
          <w:rFonts w:hint="eastAsia"/>
        </w:rPr>
        <w:t xml:space="preserve">这组逐省数值对应关系证明该列不能直接作为同口径的</w:t>
      </w:r>
      <w:r>
        <w:t xml:space="preserve"> 2020 </w:t>
      </w:r>
      <w:r>
        <w:rPr>
          <w:rFonts w:hint="eastAsia"/>
        </w:rPr>
        <w:t xml:space="preserve">年输入，但不能据此断言档案未公开的制作过程。</w:t>
      </w:r>
    </w:p>
    <w:p>
      <w:pPr>
        <w:pStyle w:val="BodyText"/>
      </w:pPr>
      <w:r>
        <w:rPr>
          <w:rFonts w:hint="eastAsia"/>
        </w:rPr>
        <w:t xml:space="preserve">官方</w:t>
      </w:r>
      <w:r>
        <w:t xml:space="preserve"> 2020 </w:t>
      </w:r>
      <w:r>
        <w:rPr>
          <w:rFonts w:hint="eastAsia"/>
        </w:rPr>
        <w:t xml:space="preserve">年同口径资料包含</w:t>
      </w:r>
      <w:r>
        <w:t xml:space="preserve"> 49 </w:t>
      </w:r>
      <w:r>
        <w:rPr>
          <w:rFonts w:hint="eastAsia"/>
        </w:rPr>
        <w:t xml:space="preserve">台机组。已从表格图像逐行录入并放大核对，额定容量、发电量和上网电量之和分别为</w:t>
      </w:r>
      <w:r>
        <w:t xml:space="preserve"> 51,027.16 MWe、3662.43 </w:t>
      </w:r>
      <w:r>
        <w:rPr>
          <w:rFonts w:hint="eastAsia"/>
        </w:rPr>
        <w:t xml:space="preserve">亿</w:t>
      </w:r>
      <w:r>
        <w:t xml:space="preserve"> kWh </w:t>
      </w:r>
      <w:r>
        <w:rPr>
          <w:rFonts w:hint="eastAsia"/>
        </w:rPr>
        <w:t xml:space="preserve">和</w:t>
      </w:r>
      <w:r>
        <w:t xml:space="preserve"> 3428.54 </w:t>
      </w:r>
      <w:r>
        <w:rPr>
          <w:rFonts w:hint="eastAsia"/>
        </w:rPr>
        <w:t xml:space="preserve">亿</w:t>
      </w:r>
      <w:r>
        <w:t xml:space="preserve"> </w:t>
      </w:r>
      <w:r>
        <w:rPr>
          <w:rFonts w:hint="eastAsia"/>
        </w:rPr>
        <w:t xml:space="preserve">kWh，与表内合计一致。2021</w:t>
      </w:r>
      <w:r>
        <w:t xml:space="preserve"> </w:t>
      </w:r>
      <w:r>
        <w:rPr>
          <w:rFonts w:hint="eastAsia"/>
        </w:rPr>
        <w:t xml:space="preserve">年同口径容量增加</w:t>
      </w:r>
      <w:r>
        <w:t xml:space="preserve"> 3619.79 </w:t>
      </w:r>
      <w:r>
        <w:rPr>
          <w:rFonts w:hint="eastAsia"/>
        </w:rPr>
        <w:t xml:space="preserve">MWe，其中</w:t>
      </w:r>
      <w:r>
        <w:t xml:space="preserve"> 3608.79 MWe </w:t>
      </w:r>
      <w:r>
        <w:rPr>
          <w:rFonts w:hint="eastAsia"/>
        </w:rPr>
        <w:t xml:space="preserve">来自四台新列入统计的机组，另有同一机组跨年度报告的额定值变化</w:t>
      </w:r>
      <w:r>
        <w:t xml:space="preserve"> 11 </w:t>
      </w:r>
      <w:r>
        <w:rPr>
          <w:rFonts w:hint="eastAsia"/>
        </w:rPr>
        <w:t xml:space="preserve">MWe；额定值变化本身不证明发生了物理扩容。</w:t>
      </w:r>
    </w:p>
    <w:p>
      <w:pPr>
        <w:pStyle w:val="BodyText"/>
      </w:pPr>
      <w:r>
        <w:rPr>
          <w:rFonts w:hint="eastAsia"/>
        </w:rPr>
        <w:t xml:space="preserve">“已装料运行”“已并网”和“商业运行”具有不同边界。福清</w:t>
      </w:r>
      <w:r>
        <w:t xml:space="preserve"> 5 </w:t>
      </w:r>
      <w:r>
        <w:rPr>
          <w:rFonts w:hint="eastAsia"/>
        </w:rPr>
        <w:t xml:space="preserve">号机组在</w:t>
      </w:r>
      <w:r>
        <w:t xml:space="preserve"> 2020 </w:t>
      </w:r>
      <w:r>
        <w:rPr>
          <w:rFonts w:hint="eastAsia"/>
        </w:rPr>
        <w:t xml:space="preserve">年已经并网并列入运行表，但商业运行始于</w:t>
      </w:r>
      <w:r>
        <w:t xml:space="preserve"> 2021 </w:t>
      </w:r>
      <w:r>
        <w:rPr>
          <w:rFonts w:hint="eastAsia"/>
        </w:rPr>
        <w:t xml:space="preserve">年。[16]</w:t>
      </w:r>
      <w:r>
        <w:t xml:space="preserve"> </w:t>
      </w:r>
      <w:r>
        <w:rPr>
          <w:rFonts w:hint="eastAsia"/>
        </w:rPr>
        <w:t xml:space="preserve">因此不能把上述</w:t>
      </w:r>
      <w:r>
        <w:t xml:space="preserve"> 51.03 GW </w:t>
      </w:r>
      <w:r>
        <w:rPr>
          <w:rFonts w:hint="eastAsia"/>
        </w:rPr>
        <w:t xml:space="preserve">与商业运行或其他统计口径的约</w:t>
      </w:r>
      <w:r>
        <w:t xml:space="preserve"> 49.9 GW </w:t>
      </w:r>
      <w:r>
        <w:rPr>
          <w:rFonts w:hint="eastAsia"/>
        </w:rPr>
        <w:t xml:space="preserve">直接当作彼此错误。2020</w:t>
      </w:r>
      <w:r>
        <w:t xml:space="preserve"> </w:t>
      </w:r>
      <w:r>
        <w:rPr>
          <w:rFonts w:hint="eastAsia"/>
        </w:rPr>
        <w:t xml:space="preserve">年新并网机组还必须按实际投运时间处理，不能把年末容量赋予全年。当前已形成省级核电年度发电与上网电量校准目标，尚未据此构造或验证逐时出力。</w:t>
      </w:r>
    </w:p>
    <w:bookmarkEnd w:id="16"/>
    <w:bookmarkStart w:id="17" w:name="大型水电资料的时序库容与资产年代"/>
    <w:p>
      <w:pPr>
        <w:pStyle w:val="Heading3"/>
      </w:pPr>
      <w:r>
        <w:t xml:space="preserve">2.6 </w:t>
      </w:r>
      <w:r>
        <w:rPr>
          <w:rFonts w:hint="eastAsia"/>
        </w:rPr>
        <w:t xml:space="preserve">大型水电资料的时序、库容与资产年代</w:t>
      </w:r>
    </w:p>
    <w:p>
      <w:pPr>
        <w:pStyle w:val="FirstParagraph"/>
      </w:pPr>
      <w:r>
        <w:rPr>
          <w:rFonts w:hint="eastAsia"/>
        </w:rPr>
        <w:t xml:space="preserve">已从归档</w:t>
      </w:r>
      <w:r>
        <w:t xml:space="preserve"> [9] </w:t>
      </w:r>
      <w:r>
        <w:rPr>
          <w:rFonts w:hint="eastAsia"/>
        </w:rPr>
        <w:t xml:space="preserve">取得</w:t>
      </w:r>
      <w:r>
        <w:t xml:space="preserve"> 43 </w:t>
      </w:r>
      <w:r>
        <w:rPr>
          <w:rFonts w:hint="eastAsia"/>
        </w:rPr>
        <w:t xml:space="preserve">站参数及</w:t>
      </w:r>
      <w:r>
        <w:t xml:space="preserve"> 1979—2016 </w:t>
      </w:r>
      <w:r>
        <w:rPr>
          <w:rFonts w:hint="eastAsia"/>
        </w:rPr>
        <w:t xml:space="preserve">年、13,880</w:t>
      </w:r>
      <w:r>
        <w:t xml:space="preserve"> </w:t>
      </w:r>
      <w:r>
        <w:rPr>
          <w:rFonts w:hint="eastAsia"/>
        </w:rPr>
        <w:t xml:space="preserve">天的来水资料。源文件的</w:t>
      </w:r>
      <w:r>
        <w:t xml:space="preserve"> m³ </w:t>
      </w:r>
      <w:r>
        <w:rPr>
          <w:rFonts w:hint="eastAsia"/>
        </w:rPr>
        <w:t xml:space="preserve">与</w:t>
      </w:r>
      <w:r>
        <w:t xml:space="preserve"> GWh </w:t>
      </w:r>
      <w:r>
        <w:rPr>
          <w:rFonts w:hint="eastAsia"/>
        </w:rPr>
        <w:t xml:space="preserve">版本在低值区间并非直接一致：10,796</w:t>
      </w:r>
      <w:r>
        <w:t xml:space="preserve"> </w:t>
      </w:r>
      <w:r>
        <w:rPr>
          <w:rFonts w:hint="eastAsia"/>
        </w:rPr>
        <w:t xml:space="preserve">个零能量位置均对应正水量。每日水量在原代码中集中于午夜，其余小时置零；默认一小时下日总量保持，但小时内调节机会不同于均匀入流。代码选取的</w:t>
      </w:r>
      <w:r>
        <w:t xml:space="preserve"> 2016 </w:t>
      </w:r>
      <w:r>
        <w:rPr>
          <w:rFonts w:hint="eastAsia"/>
        </w:rPr>
        <w:t xml:space="preserve">年来水又通过</w:t>
      </w:r>
      <w:r>
        <w:t xml:space="preserve"> 365 </w:t>
      </w:r>
      <w:r>
        <w:rPr>
          <w:rFonts w:hint="eastAsia"/>
        </w:rPr>
        <w:t xml:space="preserve">天日历映射，遗漏闰日。该文件不含</w:t>
      </w:r>
      <w:r>
        <w:t xml:space="preserve"> 2020 </w:t>
      </w:r>
      <w:r>
        <w:rPr>
          <w:rFonts w:hint="eastAsia"/>
        </w:rPr>
        <w:t xml:space="preserve">年水文，不能直接与</w:t>
      </w:r>
      <w:r>
        <w:t xml:space="preserve"> 2020 </w:t>
      </w:r>
      <w:r>
        <w:rPr>
          <w:rFonts w:hint="eastAsia"/>
        </w:rPr>
        <w:t xml:space="preserve">年风光组合为同天气年观测。</w:t>
      </w:r>
    </w:p>
    <w:p>
      <w:pPr>
        <w:pStyle w:val="BodyText"/>
      </w:pPr>
      <w:r>
        <w:rPr>
          <w:rFonts w:hint="eastAsia"/>
        </w:rPr>
        <w:t xml:space="preserve">初始库容和有效库容的参考亦需统一。43</w:t>
      </w:r>
      <w:r>
        <w:t xml:space="preserve"> </w:t>
      </w:r>
      <w:r>
        <w:rPr>
          <w:rFonts w:hint="eastAsia"/>
        </w:rPr>
        <w:t xml:space="preserve">座水库中，40</w:t>
      </w:r>
      <w:r>
        <w:t xml:space="preserve"> </w:t>
      </w:r>
      <w:r>
        <w:rPr>
          <w:rFonts w:hint="eastAsia"/>
        </w:rPr>
        <w:t xml:space="preserve">座的初始值高于有效库容；按总库容减有效库容推算死库容后，再调整初值，会有</w:t>
      </w:r>
      <w:r>
        <w:t xml:space="preserve"> 11 </w:t>
      </w:r>
      <w:r>
        <w:rPr>
          <w:rFonts w:hint="eastAsia"/>
        </w:rPr>
        <w:t xml:space="preserve">座出现负值。不能通过直接截断完成校准。原代码设置循环储能，根据</w:t>
      </w:r>
      <w:r>
        <w:t xml:space="preserve"> PyPSA </w:t>
      </w:r>
      <w:r>
        <w:rPr>
          <w:rFonts w:hint="eastAsia"/>
        </w:rPr>
        <w:t xml:space="preserve">文档，该模式忽略给定初值，因此上述冲突本身不证明原程序不可行。[17]</w:t>
      </w:r>
    </w:p>
    <w:p>
      <w:pPr>
        <w:pStyle w:val="BodyText"/>
      </w:pPr>
      <w:r>
        <w:rPr>
          <w:rFonts w:hint="eastAsia"/>
        </w:rPr>
        <w:t xml:space="preserve">资产年代核对确认，归档白鹤滩和乌东德的完整容量合计</w:t>
      </w:r>
      <w:r>
        <w:t xml:space="preserve"> 26,200 </w:t>
      </w:r>
      <w:r>
        <w:rPr>
          <w:rFonts w:hint="eastAsia"/>
        </w:rPr>
        <w:t xml:space="preserve">MW，而</w:t>
      </w:r>
      <w:r>
        <w:t xml:space="preserve"> 2020 </w:t>
      </w:r>
      <w:r>
        <w:rPr>
          <w:rFonts w:hint="eastAsia"/>
        </w:rPr>
        <w:t xml:space="preserve">年末两站已经投产的容量合计为</w:t>
      </w:r>
      <w:r>
        <w:t xml:space="preserve"> 6800 </w:t>
      </w:r>
      <w:r>
        <w:rPr>
          <w:rFonts w:hint="eastAsia"/>
        </w:rPr>
        <w:t xml:space="preserve">MW：白鹤滩首批机组在</w:t>
      </w:r>
      <w:r>
        <w:t xml:space="preserve"> 2021 </w:t>
      </w:r>
      <w:r>
        <w:rPr>
          <w:rFonts w:hint="eastAsia"/>
        </w:rPr>
        <w:t xml:space="preserve">年投产，乌东德</w:t>
      </w:r>
      <w:r>
        <w:t xml:space="preserve"> 2020 </w:t>
      </w:r>
      <w:r>
        <w:rPr>
          <w:rFonts w:hint="eastAsia"/>
        </w:rPr>
        <w:t xml:space="preserve">年投产</w:t>
      </w:r>
      <w:r>
        <w:t xml:space="preserve"> 8 </w:t>
      </w:r>
      <w:r>
        <w:rPr>
          <w:rFonts w:hint="eastAsia"/>
        </w:rPr>
        <w:t xml:space="preserve">台、单台</w:t>
      </w:r>
      <w:r>
        <w:t xml:space="preserve"> 850 MW。[18–19] 19,400 MW </w:t>
      </w:r>
      <w:r>
        <w:rPr>
          <w:rFonts w:hint="eastAsia"/>
        </w:rPr>
        <w:t xml:space="preserve">的差额是输入年份差异，不是可由灵活性避免的投资。乌东德还需按年中陆续投运处理，不能用年末容量覆盖全年。</w:t>
      </w:r>
    </w:p>
    <w:p>
      <w:pPr>
        <w:pStyle w:val="BodyText"/>
      </w:pPr>
      <w:r>
        <w:t xml:space="preserve">GEM </w:t>
      </w:r>
      <w:r>
        <w:rPr>
          <w:rFonts w:hint="eastAsia"/>
        </w:rPr>
        <w:t xml:space="preserve">文件的水电记录是全厂级信息，不能仅按全厂起始年份推回每台机组；跨省电站的省份标签也需核对接入电网。当前完成了数据审计和两站年末容量校核，完整水文、库容和地区发电回测仍未完成。</w:t>
      </w:r>
    </w:p>
    <w:bookmarkEnd w:id="17"/>
    <w:bookmarkStart w:id="18" w:name="公开生产-gpu-集群轨迹观测到的等待时长与利用率"/>
    <w:p>
      <w:pPr>
        <w:pStyle w:val="Heading3"/>
      </w:pPr>
      <w:r>
        <w:t xml:space="preserve">2.8 </w:t>
      </w:r>
      <w:r>
        <w:rPr>
          <w:rFonts w:hint="eastAsia"/>
        </w:rPr>
        <w:t xml:space="preserve">公开生产</w:t>
      </w:r>
      <w:r>
        <w:t xml:space="preserve"> GPU </w:t>
      </w:r>
      <w:r>
        <w:rPr>
          <w:rFonts w:hint="eastAsia"/>
        </w:rPr>
        <w:t xml:space="preserve">集群轨迹：观测到的等待、时长与利用率</w:t>
      </w:r>
    </w:p>
    <w:p>
      <w:pPr>
        <w:pStyle w:val="FirstParagraph"/>
      </w:pPr>
      <w:r>
        <w:rPr>
          <w:rFonts w:hint="eastAsia"/>
        </w:rPr>
        <w:t xml:space="preserve">为给任务到达、完成时间与可容忍延迟提供经验依据，新增取得三套公开生产集群轨迹并逐一登记来源、许可与校验值（数据登记</w:t>
      </w:r>
      <w:r>
        <w:t xml:space="preserve"> </w:t>
      </w:r>
      <w:r>
        <w:rPr>
          <w:rFonts w:hint="eastAsia"/>
        </w:rPr>
        <w:t xml:space="preserve">D12–D14）。三套轨迹都不含功率遥测，也不含服务期限；生产中观测到的排队等待只能作为用户实际容忍延迟的下界，不能解释为期限。</w:t>
      </w:r>
    </w:p>
    <w:p>
      <w:pPr>
        <w:pStyle w:val="BodyText"/>
      </w:pPr>
      <w:r>
        <w:rPr>
          <w:rFonts w:hint="eastAsia"/>
          <w:b/>
          <w:bCs/>
        </w:rPr>
        <w:t xml:space="preserve">Helios（商汤，2020</w:t>
      </w:r>
      <w:r>
        <w:rPr>
          <w:b/>
          <w:bCs/>
        </w:rPr>
        <w:t xml:space="preserve"> </w:t>
      </w:r>
      <w:r>
        <w:rPr>
          <w:rFonts w:hint="eastAsia"/>
          <w:b/>
          <w:bCs/>
        </w:rPr>
        <w:t xml:space="preserve">年</w:t>
      </w:r>
      <w:r>
        <w:rPr>
          <w:b/>
          <w:bCs/>
        </w:rPr>
        <w:t xml:space="preserve"> 4—9 </w:t>
      </w:r>
      <w:r>
        <w:rPr>
          <w:rFonts w:hint="eastAsia"/>
          <w:b/>
          <w:bCs/>
        </w:rPr>
        <w:t xml:space="preserve">月，4</w:t>
      </w:r>
      <w:r>
        <w:rPr>
          <w:b/>
          <w:bCs/>
        </w:rPr>
        <w:t xml:space="preserve"> </w:t>
      </w:r>
      <w:r>
        <w:rPr>
          <w:rFonts w:hint="eastAsia"/>
          <w:b/>
          <w:bCs/>
        </w:rPr>
        <w:t xml:space="preserve">个集群）。</w:t>
      </w:r>
      <w:r>
        <w:t xml:space="preserve"> </w:t>
      </w:r>
      <w:r>
        <w:t xml:space="preserve">[7] </w:t>
      </w:r>
      <w:r>
        <w:rPr>
          <w:rFonts w:hint="eastAsia"/>
        </w:rPr>
        <w:t xml:space="preserve">共</w:t>
      </w:r>
      <w:r>
        <w:t xml:space="preserve"> 3,362,981 </w:t>
      </w:r>
      <w:r>
        <w:rPr>
          <w:rFonts w:hint="eastAsia"/>
        </w:rPr>
        <w:t xml:space="preserve">条作业记录，其中</w:t>
      </w:r>
      <w:r>
        <w:t xml:space="preserve"> GPU </w:t>
      </w:r>
      <w:r>
        <w:rPr>
          <w:rFonts w:hint="eastAsia"/>
        </w:rPr>
        <w:t xml:space="preserve">作业</w:t>
      </w:r>
      <w:r>
        <w:t xml:space="preserve"> 1,580,464 </w:t>
      </w:r>
      <w:r>
        <w:rPr>
          <w:rFonts w:hint="eastAsia"/>
        </w:rPr>
        <w:t xml:space="preserve">条；</w:t>
      </w:r>
      <w:r>
        <w:rPr>
          <w:rStyle w:val="VerbatimChar"/>
        </w:rPr>
        <w:t xml:space="preserve">queue</w:t>
      </w:r>
      <w:r>
        <w:t xml:space="preserve"> </w:t>
      </w:r>
      <w:r>
        <w:rPr>
          <w:rFonts w:hint="eastAsia"/>
        </w:rPr>
        <w:t xml:space="preserve">与</w:t>
      </w:r>
      <w:r>
        <w:t xml:space="preserve"> </w:t>
      </w:r>
      <w:r>
        <w:rPr>
          <w:rStyle w:val="VerbatimChar"/>
        </w:rPr>
        <w:t xml:space="preserve">duration</w:t>
      </w:r>
      <w:r>
        <w:t xml:space="preserve"> </w:t>
      </w:r>
      <w:r>
        <w:rPr>
          <w:rFonts w:hint="eastAsia"/>
        </w:rPr>
        <w:t xml:space="preserve">字段分别与起止时间差完全一致（最大差</w:t>
      </w:r>
      <w:r>
        <w:t xml:space="preserve"> 0 </w:t>
      </w:r>
      <w:r>
        <w:rPr>
          <w:rFonts w:hint="eastAsia"/>
        </w:rPr>
        <w:t xml:space="preserve">秒）。按</w:t>
      </w:r>
      <w:r>
        <w:t xml:space="preserve"> GPU </w:t>
      </w:r>
      <w:r>
        <w:rPr>
          <w:rFonts w:hint="eastAsia"/>
        </w:rPr>
        <w:t xml:space="preserve">小时加权，运行时长超过</w:t>
      </w:r>
      <w:r>
        <w:t xml:space="preserve"> 24 </w:t>
      </w:r>
      <w:r>
        <w:rPr>
          <w:rFonts w:hint="eastAsia"/>
        </w:rPr>
        <w:t xml:space="preserve">小时的作业占</w:t>
      </w:r>
      <w:r>
        <w:t xml:space="preserve"> </w:t>
      </w:r>
      <w:r>
        <w:rPr>
          <w:rFonts w:hint="eastAsia"/>
        </w:rPr>
        <w:t xml:space="preserve">68.0%；观测等待超过</w:t>
      </w:r>
      <w:r>
        <w:t xml:space="preserve"> 1 </w:t>
      </w:r>
      <w:r>
        <w:rPr>
          <w:rFonts w:hint="eastAsia"/>
        </w:rPr>
        <w:t xml:space="preserve">小时的占</w:t>
      </w:r>
      <w:r>
        <w:t xml:space="preserve"> </w:t>
      </w:r>
      <w:r>
        <w:rPr>
          <w:rFonts w:hint="eastAsia"/>
        </w:rPr>
        <w:t xml:space="preserve">18.3%，超过</w:t>
      </w:r>
      <w:r>
        <w:t xml:space="preserve"> 6 </w:t>
      </w:r>
      <w:r>
        <w:rPr>
          <w:rFonts w:hint="eastAsia"/>
        </w:rPr>
        <w:t xml:space="preserve">小时的占</w:t>
      </w:r>
      <w:r>
        <w:t xml:space="preserve"> </w:t>
      </w:r>
      <w:r>
        <w:rPr>
          <w:rFonts w:hint="eastAsia"/>
        </w:rPr>
        <w:t xml:space="preserve">9.4%，超过</w:t>
      </w:r>
      <w:r>
        <w:t xml:space="preserve"> 24 </w:t>
      </w:r>
      <w:r>
        <w:rPr>
          <w:rFonts w:hint="eastAsia"/>
        </w:rPr>
        <w:t xml:space="preserve">小时的占</w:t>
      </w:r>
      <w:r>
        <w:t xml:space="preserve"> </w:t>
      </w:r>
      <w:r>
        <w:rPr>
          <w:rFonts w:hint="eastAsia"/>
        </w:rPr>
        <w:t xml:space="preserve">2.2%。被取消作业占</w:t>
      </w:r>
      <w:r>
        <w:t xml:space="preserve"> GPU </w:t>
      </w:r>
      <w:r>
        <w:rPr>
          <w:rFonts w:hint="eastAsia"/>
        </w:rPr>
        <w:t xml:space="preserve">小时的</w:t>
      </w:r>
      <w:r>
        <w:t xml:space="preserve"> </w:t>
      </w:r>
      <w:r>
        <w:rPr>
          <w:rFonts w:hint="eastAsia"/>
        </w:rPr>
        <w:t xml:space="preserve">39.4%，说明”已消耗的</w:t>
      </w:r>
      <w:r>
        <w:t xml:space="preserve"> GPU </w:t>
      </w:r>
      <w:r>
        <w:rPr>
          <w:rFonts w:hint="eastAsia"/>
        </w:rPr>
        <w:t xml:space="preserve">小时”与”完成的服务”不能等同。</w:t>
      </w:r>
    </w:p>
    <w:p>
      <w:pPr>
        <w:pStyle w:val="BodyText"/>
      </w:pPr>
      <w:r>
        <w:rPr>
          <w:rFonts w:hint="eastAsia"/>
          <w:b/>
          <w:bCs/>
        </w:rPr>
        <w:t xml:space="preserve">阿里</w:t>
      </w:r>
      <w:r>
        <w:rPr>
          <w:b/>
          <w:bCs/>
        </w:rPr>
        <w:t xml:space="preserve"> </w:t>
      </w:r>
      <w:r>
        <w:rPr>
          <w:rFonts w:hint="eastAsia"/>
          <w:b/>
          <w:bCs/>
        </w:rPr>
        <w:t xml:space="preserve">PAI（2020</w:t>
      </w:r>
      <w:r>
        <w:rPr>
          <w:b/>
          <w:bCs/>
        </w:rPr>
        <w:t xml:space="preserve"> </w:t>
      </w:r>
      <w:r>
        <w:rPr>
          <w:rFonts w:hint="eastAsia"/>
          <w:b/>
          <w:bCs/>
        </w:rPr>
        <w:t xml:space="preserve">年</w:t>
      </w:r>
      <w:r>
        <w:rPr>
          <w:b/>
          <w:bCs/>
        </w:rPr>
        <w:t xml:space="preserve"> 7—8 </w:t>
      </w:r>
      <w:r>
        <w:rPr>
          <w:rFonts w:hint="eastAsia"/>
          <w:b/>
          <w:bCs/>
        </w:rPr>
        <w:t xml:space="preserve">月，约</w:t>
      </w:r>
      <w:r>
        <w:rPr>
          <w:b/>
          <w:bCs/>
        </w:rPr>
        <w:t xml:space="preserve"> 6,500 </w:t>
      </w:r>
      <w:r>
        <w:rPr>
          <w:rFonts w:hint="eastAsia"/>
          <w:b/>
          <w:bCs/>
        </w:rPr>
        <w:t xml:space="preserve">GPU）。</w:t>
      </w:r>
      <w:r>
        <w:t xml:space="preserve"> </w:t>
      </w:r>
      <w:r>
        <w:t xml:space="preserve">[6] </w:t>
      </w:r>
      <w:r>
        <w:rPr>
          <w:rFonts w:hint="eastAsia"/>
        </w:rPr>
        <w:t xml:space="preserve">作业</w:t>
      </w:r>
      <w:r>
        <w:t xml:space="preserve"> 1,055,501 </w:t>
      </w:r>
      <w:r>
        <w:rPr>
          <w:rFonts w:hint="eastAsia"/>
        </w:rPr>
        <w:t xml:space="preserve">条、任务</w:t>
      </w:r>
      <w:r>
        <w:t xml:space="preserve"> 1,261,050 </w:t>
      </w:r>
      <w:r>
        <w:rPr>
          <w:rFonts w:hint="eastAsia"/>
        </w:rPr>
        <w:t xml:space="preserve">条、实例传感器记录</w:t>
      </w:r>
      <w:r>
        <w:t xml:space="preserve"> 3,033,232 </w:t>
      </w:r>
      <w:r>
        <w:rPr>
          <w:rFonts w:hint="eastAsia"/>
        </w:rPr>
        <w:t xml:space="preserve">条。README</w:t>
      </w:r>
      <w:r>
        <w:t xml:space="preserve"> </w:t>
      </w:r>
      <w:r>
        <w:rPr>
          <w:rFonts w:hint="eastAsia"/>
        </w:rPr>
        <w:t xml:space="preserve">定义作业</w:t>
      </w:r>
      <w:r>
        <w:t xml:space="preserve"> </w:t>
      </w:r>
      <w:r>
        <w:rPr>
          <w:rStyle w:val="VerbatimChar"/>
        </w:rPr>
        <w:t xml:space="preserve">start_time</w:t>
      </w:r>
      <w:r>
        <w:t xml:space="preserve"> </w:t>
      </w:r>
      <w:r>
        <w:rPr>
          <w:rFonts w:hint="eastAsia"/>
        </w:rPr>
        <w:t xml:space="preserve">为提交时间、任务</w:t>
      </w:r>
      <w:r>
        <w:t xml:space="preserve"> </w:t>
      </w:r>
      <w:r>
        <w:rPr>
          <w:rStyle w:val="VerbatimChar"/>
        </w:rPr>
        <w:t xml:space="preserve">start_time</w:t>
      </w:r>
      <w:r>
        <w:t xml:space="preserve"> </w:t>
      </w:r>
      <w:r>
        <w:rPr>
          <w:rFonts w:hint="eastAsia"/>
        </w:rPr>
        <w:t xml:space="preserve">为启动时间，两者之差为调度等待。714,903</w:t>
      </w:r>
      <w:r>
        <w:t xml:space="preserve"> </w:t>
      </w:r>
      <w:r>
        <w:rPr>
          <w:rFonts w:hint="eastAsia"/>
        </w:rPr>
        <w:t xml:space="preserve">个成功结束的</w:t>
      </w:r>
      <w:r>
        <w:t xml:space="preserve"> GPU </w:t>
      </w:r>
      <w:r>
        <w:rPr>
          <w:rFonts w:hint="eastAsia"/>
        </w:rPr>
        <w:t xml:space="preserve">作业中，等待的第</w:t>
      </w:r>
      <w:r>
        <w:t xml:space="preserve"> 99 </w:t>
      </w:r>
      <w:r>
        <w:rPr>
          <w:rFonts w:hint="eastAsia"/>
        </w:rPr>
        <w:t xml:space="preserve">百分位仅</w:t>
      </w:r>
      <w:r>
        <w:t xml:space="preserve"> 0.3 </w:t>
      </w:r>
      <w:r>
        <w:rPr>
          <w:rFonts w:hint="eastAsia"/>
        </w:rPr>
        <w:t xml:space="preserve">分钟，GPU</w:t>
      </w:r>
      <w:r>
        <w:t xml:space="preserve"> </w:t>
      </w:r>
      <w:r>
        <w:rPr>
          <w:rFonts w:hint="eastAsia"/>
        </w:rPr>
        <w:t xml:space="preserve">小时加权等待超过</w:t>
      </w:r>
      <w:r>
        <w:t xml:space="preserve"> 1 </w:t>
      </w:r>
      <w:r>
        <w:rPr>
          <w:rFonts w:hint="eastAsia"/>
        </w:rPr>
        <w:t xml:space="preserve">小时的比例为</w:t>
      </w:r>
      <w:r>
        <w:t xml:space="preserve"> </w:t>
      </w:r>
      <w:r>
        <w:rPr>
          <w:rFonts w:hint="eastAsia"/>
        </w:rPr>
        <w:t xml:space="preserve">0.2%；即该平台在观测期内几乎不排队，因此它不能提供可容忍延迟的证据，但提供了运行时长（超过</w:t>
      </w:r>
      <w:r>
        <w:t xml:space="preserve"> 24 </w:t>
      </w:r>
      <w:r>
        <w:rPr>
          <w:rFonts w:hint="eastAsia"/>
        </w:rPr>
        <w:t xml:space="preserve">小时的作业占</w:t>
      </w:r>
      <w:r>
        <w:t xml:space="preserve"> GPU </w:t>
      </w:r>
      <w:r>
        <w:rPr>
          <w:rFonts w:hint="eastAsia"/>
        </w:rPr>
        <w:t xml:space="preserve">小时</w:t>
      </w:r>
      <w:r>
        <w:t xml:space="preserve"> </w:t>
      </w:r>
      <w:r>
        <w:rPr>
          <w:rFonts w:hint="eastAsia"/>
        </w:rPr>
        <w:t xml:space="preserve">30.1%）和利用率证据：75.4%</w:t>
      </w:r>
      <w:r>
        <w:t xml:space="preserve"> </w:t>
      </w:r>
      <w:r>
        <w:rPr>
          <w:rFonts w:hint="eastAsia"/>
        </w:rPr>
        <w:t xml:space="preserve">的实例平均</w:t>
      </w:r>
      <w:r>
        <w:t xml:space="preserve"> GPU </w:t>
      </w:r>
      <w:r>
        <w:rPr>
          <w:rFonts w:hint="eastAsia"/>
        </w:rPr>
        <w:t xml:space="preserve">利用率低于</w:t>
      </w:r>
      <w:r>
        <w:t xml:space="preserve"> </w:t>
      </w:r>
      <w:r>
        <w:rPr>
          <w:rFonts w:hint="eastAsia"/>
        </w:rPr>
        <w:t xml:space="preserve">10%，中位数为</w:t>
      </w:r>
      <w:r>
        <w:t xml:space="preserve"> </w:t>
      </w:r>
      <w:r>
        <w:rPr>
          <w:rFonts w:hint="eastAsia"/>
        </w:rPr>
        <w:t xml:space="preserve">1.5%。这直接影响空闲功率与冗余算力假设。</w:t>
      </w:r>
    </w:p>
    <w:p>
      <w:pPr>
        <w:pStyle w:val="BodyText"/>
      </w:pPr>
      <w:r>
        <w:rPr>
          <w:rFonts w:hint="eastAsia"/>
          <w:b/>
          <w:bCs/>
        </w:rPr>
        <w:t xml:space="preserve">Philly（微软，2017</w:t>
      </w:r>
      <w:r>
        <w:rPr>
          <w:b/>
          <w:bCs/>
        </w:rPr>
        <w:t xml:space="preserve"> </w:t>
      </w:r>
      <w:r>
        <w:rPr>
          <w:rFonts w:hint="eastAsia"/>
          <w:b/>
          <w:bCs/>
        </w:rPr>
        <w:t xml:space="preserve">年</w:t>
      </w:r>
      <w:r>
        <w:rPr>
          <w:b/>
          <w:bCs/>
        </w:rPr>
        <w:t xml:space="preserve"> 8—12 </w:t>
      </w:r>
      <w:r>
        <w:rPr>
          <w:rFonts w:hint="eastAsia"/>
          <w:b/>
          <w:bCs/>
        </w:rPr>
        <w:t xml:space="preserve">月）。</w:t>
      </w:r>
      <w:r>
        <w:t xml:space="preserve"> </w:t>
      </w:r>
      <w:r>
        <w:t xml:space="preserve">[8] 117,325 </w:t>
      </w:r>
      <w:r>
        <w:rPr>
          <w:rFonts w:hint="eastAsia"/>
        </w:rPr>
        <w:t xml:space="preserve">个作业；111,872</w:t>
      </w:r>
      <w:r>
        <w:t xml:space="preserve"> </w:t>
      </w:r>
      <w:r>
        <w:rPr>
          <w:rFonts w:hint="eastAsia"/>
        </w:rPr>
        <w:t xml:space="preserve">个有完整时间的</w:t>
      </w:r>
      <w:r>
        <w:t xml:space="preserve"> GPU </w:t>
      </w:r>
      <w:r>
        <w:rPr>
          <w:rFonts w:hint="eastAsia"/>
        </w:rPr>
        <w:t xml:space="preserve">作业中，GPU</w:t>
      </w:r>
      <w:r>
        <w:t xml:space="preserve"> </w:t>
      </w:r>
      <w:r>
        <w:rPr>
          <w:rFonts w:hint="eastAsia"/>
        </w:rPr>
        <w:t xml:space="preserve">小时加权等待超过</w:t>
      </w:r>
      <w:r>
        <w:t xml:space="preserve"> 1 </w:t>
      </w:r>
      <w:r>
        <w:rPr>
          <w:rFonts w:hint="eastAsia"/>
        </w:rPr>
        <w:t xml:space="preserve">小时的占</w:t>
      </w:r>
      <w:r>
        <w:t xml:space="preserve"> </w:t>
      </w:r>
      <w:r>
        <w:rPr>
          <w:rFonts w:hint="eastAsia"/>
        </w:rPr>
        <w:t xml:space="preserve">14.5%，超过</w:t>
      </w:r>
      <w:r>
        <w:t xml:space="preserve"> 24 </w:t>
      </w:r>
      <w:r>
        <w:rPr>
          <w:rFonts w:hint="eastAsia"/>
        </w:rPr>
        <w:t xml:space="preserve">小时的占</w:t>
      </w:r>
      <w:r>
        <w:t xml:space="preserve"> </w:t>
      </w:r>
      <w:r>
        <w:rPr>
          <w:rFonts w:hint="eastAsia"/>
        </w:rPr>
        <w:t xml:space="preserve">2.1%；运行超过</w:t>
      </w:r>
      <w:r>
        <w:t xml:space="preserve"> 24 </w:t>
      </w:r>
      <w:r>
        <w:rPr>
          <w:rFonts w:hint="eastAsia"/>
        </w:rPr>
        <w:t xml:space="preserve">小时的占</w:t>
      </w:r>
      <w:r>
        <w:t xml:space="preserve"> </w:t>
      </w:r>
      <w:r>
        <w:rPr>
          <w:rFonts w:hint="eastAsia"/>
        </w:rPr>
        <w:t xml:space="preserve">89.6%。逐分钟机器级</w:t>
      </w:r>
      <w:r>
        <w:t xml:space="preserve"> GPU </w:t>
      </w:r>
      <w:r>
        <w:rPr>
          <w:rFonts w:hint="eastAsia"/>
        </w:rPr>
        <w:t xml:space="preserve">利用率共</w:t>
      </w:r>
      <w:r>
        <w:t xml:space="preserve"> 251,286,816 </w:t>
      </w:r>
      <w:r>
        <w:rPr>
          <w:rFonts w:hint="eastAsia"/>
        </w:rPr>
        <w:t xml:space="preserve">个样本，38.4%</w:t>
      </w:r>
      <w:r>
        <w:t xml:space="preserve"> </w:t>
      </w:r>
      <w:r>
        <w:rPr>
          <w:rFonts w:hint="eastAsia"/>
        </w:rPr>
        <w:t xml:space="preserve">低于</w:t>
      </w:r>
      <w:r>
        <w:t xml:space="preserve"> </w:t>
      </w:r>
      <w:r>
        <w:rPr>
          <w:rFonts w:hint="eastAsia"/>
        </w:rPr>
        <w:t xml:space="preserve">10%。该轨迹硬件为</w:t>
      </w:r>
      <w:r>
        <w:t xml:space="preserve"> 2017 </w:t>
      </w:r>
      <w:r>
        <w:rPr>
          <w:rFonts w:hint="eastAsia"/>
        </w:rPr>
        <w:t xml:space="preserve">年代，只用于形状对照。</w:t>
      </w:r>
    </w:p>
    <w:p>
      <w:pPr>
        <w:pStyle w:val="BodyText"/>
      </w:pPr>
      <w:r>
        <w:rPr>
          <w:rFonts w:hint="eastAsia"/>
        </w:rPr>
        <w:t xml:space="preserve">三套轨迹的共同含义：多数</w:t>
      </w:r>
      <w:r>
        <w:t xml:space="preserve"> GPU </w:t>
      </w:r>
      <w:r>
        <w:rPr>
          <w:rFonts w:hint="eastAsia"/>
        </w:rPr>
        <w:t xml:space="preserve">小时来自持续一天以上的长作业，具备时间转移的物理基础；但观测到的等待分布因平台容量策略而异，从几乎为零到近两成</w:t>
      </w:r>
      <w:r>
        <w:t xml:space="preserve"> GPU </w:t>
      </w:r>
      <w:r>
        <w:rPr>
          <w:rFonts w:hint="eastAsia"/>
        </w:rPr>
        <w:t xml:space="preserve">小时超过</w:t>
      </w:r>
      <w:r>
        <w:t xml:space="preserve"> 1 </w:t>
      </w:r>
      <w:r>
        <w:rPr>
          <w:rFonts w:hint="eastAsia"/>
        </w:rPr>
        <w:t xml:space="preserve">小时。因此论文不能采用单一的”可延迟比例”，必须把期限作为按业务类别设定并做敏感性分析的参数，并把等待下界与</w:t>
      </w:r>
      <w:r>
        <w:t xml:space="preserve"> DynamoLLM </w:t>
      </w:r>
      <w:r>
        <w:rPr>
          <w:rFonts w:hint="eastAsia"/>
        </w:rPr>
        <w:t xml:space="preserve">等服务约束证据一起作为区间的两端。图：</w:t>
      </w:r>
      <w:r>
        <w:rPr>
          <w:rStyle w:val="VerbatimChar"/>
        </w:rPr>
        <w:t xml:space="preserve">../figures/production_traces_wait_duration_util.png</w:t>
      </w:r>
      <w:r>
        <w:t xml:space="preserve">。</w:t>
      </w:r>
    </w:p>
    <w:p>
      <w:pPr>
        <w:pStyle w:val="BodyText"/>
      </w:pPr>
      <w:r>
        <w:rPr>
          <w:rFonts w:hint="eastAsia"/>
          <w:b/>
          <w:bCs/>
        </w:rPr>
        <w:t xml:space="preserve">峰荷合理性核对（2026-09-15</w:t>
      </w:r>
      <w:r>
        <w:rPr>
          <w:b/>
          <w:bCs/>
        </w:rPr>
        <w:t xml:space="preserve"> </w:t>
      </w:r>
      <w:r>
        <w:rPr>
          <w:rFonts w:hint="eastAsia"/>
          <w:b/>
          <w:bCs/>
        </w:rPr>
        <w:t xml:space="preserve">补充）。</w:t>
      </w:r>
      <w:r>
        <w:t xml:space="preserve"> </w:t>
      </w:r>
      <w:r>
        <w:rPr>
          <w:rFonts w:hint="eastAsia"/>
        </w:rPr>
        <w:t xml:space="preserve">用公开报道核对三省年度锚定形状的峰值（</w:t>
      </w:r>
      <w:r>
        <w:rPr>
          <w:rStyle w:val="VerbatimChar"/>
        </w:rPr>
        <w:t xml:space="preserve">../tables/provincial_peak_load_plausibility_check.csv</w:t>
      </w:r>
      <w:r>
        <w:rPr>
          <w:rFonts w:hint="eastAsia"/>
        </w:rPr>
        <w:t xml:space="preserve">）：江苏</w:t>
      </w:r>
      <w:r>
        <w:t xml:space="preserve"> 2020 </w:t>
      </w:r>
      <w:r>
        <w:rPr>
          <w:rFonts w:hint="eastAsia"/>
        </w:rPr>
        <w:t xml:space="preserve">年夏冬最高调度负荷均突破</w:t>
      </w:r>
      <w:r>
        <w:t xml:space="preserve"> 1 </w:t>
      </w:r>
      <w:r>
        <w:rPr>
          <w:rFonts w:hint="eastAsia"/>
        </w:rPr>
        <w:t xml:space="preserve">亿千瓦，与锚定峰值</w:t>
      </w:r>
      <w:r>
        <w:t xml:space="preserve"> 109.8 GW </w:t>
      </w:r>
      <w:r>
        <w:rPr>
          <w:rFonts w:hint="eastAsia"/>
        </w:rPr>
        <w:t xml:space="preserve">量级一致；甘肃</w:t>
      </w:r>
      <w:r>
        <w:t xml:space="preserve"> 2021 </w:t>
      </w:r>
      <w:r>
        <w:rPr>
          <w:rFonts w:hint="eastAsia"/>
        </w:rPr>
        <w:t xml:space="preserve">年最大用电负荷</w:t>
      </w:r>
      <w:r>
        <w:t xml:space="preserve"> 17.66 </w:t>
      </w:r>
      <w:r>
        <w:rPr>
          <w:rFonts w:hint="eastAsia"/>
        </w:rPr>
        <w:t xml:space="preserve">GW，低于锚定的</w:t>
      </w:r>
      <w:r>
        <w:t xml:space="preserve"> 2020 </w:t>
      </w:r>
      <w:r>
        <w:rPr>
          <w:rFonts w:hint="eastAsia"/>
        </w:rPr>
        <w:t xml:space="preserve">年峰值</w:t>
      </w:r>
      <w:r>
        <w:t xml:space="preserve"> 19.7 GW </w:t>
      </w:r>
      <w:r>
        <w:rPr>
          <w:rFonts w:hint="eastAsia"/>
        </w:rPr>
        <w:t xml:space="preserve">约一成；贵州电网统调负荷在</w:t>
      </w:r>
      <w:r>
        <w:t xml:space="preserve"> 2026 </w:t>
      </w:r>
      <w:r>
        <w:rPr>
          <w:rFonts w:hint="eastAsia"/>
        </w:rPr>
        <w:t xml:space="preserve">年</w:t>
      </w:r>
      <w:r>
        <w:t xml:space="preserve"> 1 </w:t>
      </w:r>
      <w:r>
        <w:rPr>
          <w:rFonts w:hint="eastAsia"/>
        </w:rPr>
        <w:t xml:space="preserve">月才首次突破</w:t>
      </w:r>
      <w:r>
        <w:t xml:space="preserve"> 30 </w:t>
      </w:r>
      <w:r>
        <w:rPr>
          <w:rFonts w:hint="eastAsia"/>
        </w:rPr>
        <w:t xml:space="preserve">GW，锚定的</w:t>
      </w:r>
      <w:r>
        <w:t xml:space="preserve"> 2020 </w:t>
      </w:r>
      <w:r>
        <w:rPr>
          <w:rFonts w:hint="eastAsia"/>
        </w:rPr>
        <w:t xml:space="preserve">年峰值</w:t>
      </w:r>
      <w:r>
        <w:t xml:space="preserve"> 31.3 GW </w:t>
      </w:r>
      <w:r>
        <w:rPr>
          <w:rFonts w:hint="eastAsia"/>
        </w:rPr>
        <w:t xml:space="preserve">必然明显偏高。结论是</w:t>
      </w:r>
      <w:r>
        <w:t xml:space="preserve"> 2018 </w:t>
      </w:r>
      <w:r>
        <w:rPr>
          <w:rFonts w:hint="eastAsia"/>
        </w:rPr>
        <w:t xml:space="preserve">年重构的逐时形状对甘肃、贵州的峰谷比偏大，会把本研究</w:t>
      </w:r>
      <w:r>
        <w:t xml:space="preserve"> 2030 </w:t>
      </w:r>
      <w:r>
        <w:rPr>
          <w:rFonts w:hint="eastAsia"/>
        </w:rPr>
        <w:t xml:space="preserve">情景中的承诺容量、稀缺小时与投资需求向偏高方向推。这不改变方向性结论，但在取得逐时或峰荷实测前，所有涉及容量与可靠性的数值都应视为偏保守（偏向高估稀缺）。</w:t>
      </w:r>
    </w:p>
    <w:bookmarkEnd w:id="18"/>
    <w:bookmarkEnd w:id="19"/>
    <w:bookmarkStart w:id="27" w:name="已实现的计算任务方法"/>
    <w:p>
      <w:pPr>
        <w:pStyle w:val="Heading2"/>
      </w:pPr>
      <w:r>
        <w:t xml:space="preserve">3. </w:t>
      </w:r>
      <w:r>
        <w:rPr>
          <w:rFonts w:hint="eastAsia"/>
        </w:rPr>
        <w:t xml:space="preserve">已实现的计算任务方法</w:t>
      </w:r>
    </w:p>
    <w:bookmarkStart w:id="20" w:name="相同工作量下的局部工程推算"/>
    <w:p>
      <w:pPr>
        <w:pStyle w:val="Heading3"/>
      </w:pPr>
      <w:r>
        <w:t xml:space="preserve">3.1 </w:t>
      </w:r>
      <w:r>
        <w:rPr>
          <w:rFonts w:hint="eastAsia"/>
        </w:rPr>
        <w:t xml:space="preserve">相同工作量下的局部工程推算</w:t>
      </w:r>
    </w:p>
    <w:p>
      <w:pPr>
        <w:pStyle w:val="FirstParagraph"/>
      </w:pPr>
      <w:r>
        <w:rPr>
          <w:rFonts w:hint="eastAsia"/>
        </w:rPr>
        <w:t xml:space="preserve">在持续吞吐量不变且不计切换开销的假设下，完成相同工作量的运行时间比与</w:t>
      </w:r>
      <w:r>
        <w:t xml:space="preserve"> GPU </w:t>
      </w:r>
      <w:r>
        <w:rPr>
          <w:rFonts w:hint="eastAsia"/>
        </w:rPr>
        <w:t xml:space="preserve">能耗比分别为：</w:t>
      </w:r>
    </w:p>
    <w:p>
      <w:pPr>
        <w:pStyle w:val="BodyText"/>
      </w:pPr>
      <w:r>
        <w:t xml:space="preserve">[</w:t>
      </w:r>
      <w:r>
        <w:t xml:space="preserve"> </w:t>
      </w:r>
      <w:r>
        <w:t xml:space="preserve">T_{cm}/T_{c,400}=1/</w:t>
      </w:r>
      <w:r>
        <w:t xml:space="preserve">q_{cm},</w:t>
      </w:r>
      <w:r>
        <w:t xml:space="preserve"> </w:t>
      </w:r>
      <w:r>
        <w:t xml:space="preserve">E_{cm}/E_{c,400}=</w:t>
      </w:r>
      <w:r>
        <w:t xml:space="preserve">p_{cm}/</w:t>
      </w:r>
      <w:r>
        <w:t xml:space="preserve">q_{cm}.</w:t>
      </w:r>
      <w:r>
        <w:t xml:space="preserve"> </w:t>
      </w:r>
      <w:r>
        <w:t xml:space="preserve">]</w:t>
      </w:r>
    </w:p>
    <w:p>
      <w:pPr>
        <w:pStyle w:val="BodyText"/>
      </w:pPr>
      <w:r>
        <w:rPr>
          <w:rFonts w:hint="eastAsia"/>
        </w:rPr>
        <w:t xml:space="preserve">该式描述稳态工程含义，不是重新测量的任务完成时间或机房能耗。冷却、空闲和恢复耗电尚不能从这组数据中识别。</w:t>
      </w:r>
    </w:p>
    <w:bookmarkEnd w:id="20"/>
    <w:bookmarkStart w:id="21" w:name="响应与恢复的两块时段基准"/>
    <w:p>
      <w:pPr>
        <w:pStyle w:val="Heading3"/>
      </w:pPr>
      <w:r>
        <w:t xml:space="preserve">3.2 </w:t>
      </w:r>
      <w:r>
        <w:rPr>
          <w:rFonts w:hint="eastAsia"/>
        </w:rPr>
        <w:t xml:space="preserve">响应与恢复的两块时段基准</w:t>
      </w:r>
    </w:p>
    <w:p>
      <w:pPr>
        <w:pStyle w:val="FirstParagraph"/>
      </w:pPr>
      <w:r>
        <w:rPr>
          <w:rFonts w:hint="eastAsia"/>
        </w:rPr>
        <w:t xml:space="preserve">设响应期长度</w:t>
      </w:r>
      <w:r>
        <w:t xml:space="preserve"> </w:t>
      </w:r>
      <w:r>
        <w:rPr>
          <w:rFonts w:hint="eastAsia"/>
        </w:rPr>
        <w:t xml:space="preserve">L、恢复期长度</w:t>
      </w:r>
      <w:r>
        <w:t xml:space="preserve"> </w:t>
      </w:r>
      <w:r>
        <w:rPr>
          <w:rFonts w:hint="eastAsia"/>
        </w:rPr>
        <w:t xml:space="preserve">R、平均工作需求</w:t>
      </w:r>
      <w:r>
        <w:t xml:space="preserve"> </w:t>
      </w:r>
      <w:r>
        <w:rPr>
          <w:rFonts w:hint="eastAsia"/>
        </w:rPr>
        <w:t xml:space="preserve">u，均按全速算力池归一化。选择实测档位的时间份额</w:t>
      </w:r>
      <w:r>
        <w:t xml:space="preserve"> x_m</w:t>
      </w:r>
      <w:r>
        <w:rPr>
          <w:vertAlign w:val="superscript"/>
        </w:rPr>
        <w:t xml:space="preserve">e、x_m</w:t>
      </w:r>
      <w:r>
        <w:rPr>
          <w:rFonts w:hint="eastAsia"/>
        </w:rPr>
        <w:t xml:space="preserve">r，各时段内份额和为</w:t>
      </w:r>
      <w:r>
        <w:t xml:space="preserve"> </w:t>
      </w:r>
      <w:r>
        <w:rPr>
          <w:rFonts w:hint="eastAsia"/>
        </w:rPr>
        <w:t xml:space="preserve">1，并要求：</w:t>
      </w:r>
    </w:p>
    <w:p>
      <w:pPr>
        <w:pStyle w:val="BodyText"/>
      </w:pPr>
      <w:r>
        <w:t xml:space="preserve">[</w:t>
      </w:r>
      <w:r>
        <w:t xml:space="preserve"> </w:t>
      </w:r>
      <w:r>
        <w:t xml:space="preserve">L</w:t>
      </w:r>
      <w:r>
        <w:t xml:space="preserve">_m</w:t>
      </w:r>
      <w:r>
        <w:t xml:space="preserve">q_m x_m^e+R</w:t>
      </w:r>
      <w:r>
        <w:t xml:space="preserve">_m</w:t>
      </w:r>
      <w:r>
        <w:t xml:space="preserve">q_m x_m^r=u(L+R).</w:t>
      </w:r>
      <w:r>
        <w:t xml:space="preserve"> </w:t>
      </w:r>
      <w:r>
        <w:t xml:space="preserve">]</w:t>
      </w:r>
    </w:p>
    <w:p>
      <w:pPr>
        <w:pStyle w:val="BodyText"/>
      </w:pPr>
      <w:r>
        <w:rPr>
          <w:rFonts w:hint="eastAsia"/>
        </w:rPr>
        <w:t xml:space="preserve">在全速吞吐量归一化为</w:t>
      </w:r>
      <w:r>
        <w:t xml:space="preserve"> 1 </w:t>
      </w:r>
      <w:r>
        <w:rPr>
          <w:rFonts w:hint="eastAsia"/>
        </w:rPr>
        <w:t xml:space="preserve">时，响应期平均吞吐量至少为：</w:t>
      </w:r>
    </w:p>
    <w:p>
      <w:pPr>
        <w:pStyle w:val="BodyText"/>
      </w:pPr>
      <w:r>
        <w:t xml:space="preserve">[</w:t>
      </w:r>
      <w:r>
        <w:t xml:space="preserve"> </w:t>
      </w:r>
      <w:r>
        <w:t xml:space="preserve">q_e</w:t>
      </w:r>
      <w:r>
        <w:t xml:space="preserve">(q_{</w:t>
      </w:r>
      <w:r>
        <w:t xml:space="preserve">},</w:t>
      </w:r>
      <w:r>
        <w:t xml:space="preserve">).</w:t>
      </w:r>
      <w:r>
        <w:t xml:space="preserve"> </w:t>
      </w:r>
      <w:r>
        <w:t xml:space="preserve">]</w:t>
      </w:r>
    </w:p>
    <w:p>
      <w:pPr>
        <w:pStyle w:val="BodyText"/>
      </w:pPr>
      <w:r>
        <w:rPr>
          <w:rFonts w:hint="eastAsia"/>
        </w:rPr>
        <w:t xml:space="preserve">该模型假定全部任务在起点已可执行，只有共同的期末完成要求，不包含中间到达和期限。因此仅作为乐观基准，不解释为现实服务下的响应能力。</w:t>
      </w:r>
    </w:p>
    <w:bookmarkEnd w:id="21"/>
    <w:bookmarkStart w:id="22" w:name="逐批任务的时序约束"/>
    <w:p>
      <w:pPr>
        <w:pStyle w:val="Heading3"/>
      </w:pPr>
      <w:r>
        <w:t xml:space="preserve">3.3 </w:t>
      </w:r>
      <w:r>
        <w:rPr>
          <w:rFonts w:hint="eastAsia"/>
        </w:rPr>
        <w:t xml:space="preserve">逐批任务的时序约束</w:t>
      </w:r>
    </w:p>
    <w:p>
      <w:pPr>
        <w:pStyle w:val="FirstParagraph"/>
      </w:pPr>
      <w:r>
        <w:rPr>
          <w:rFonts w:hint="eastAsia"/>
        </w:rPr>
        <w:t xml:space="preserve">当前已实现单个同质算力池、同一种工作负载配置的模型。任务批次</w:t>
      </w:r>
      <w:r>
        <w:t xml:space="preserve"> j </w:t>
      </w:r>
      <w:r>
        <w:rPr>
          <w:rFonts w:hint="eastAsia"/>
        </w:rPr>
        <w:t xml:space="preserve">具有到达边界</w:t>
      </w:r>
      <w:r>
        <w:t xml:space="preserve"> </w:t>
      </w:r>
      <w:r>
        <w:rPr>
          <w:rFonts w:hint="eastAsia"/>
        </w:rPr>
        <w:t xml:space="preserve">r_j、完成边界</w:t>
      </w:r>
      <w:r>
        <w:t xml:space="preserve"> </w:t>
      </w:r>
      <w:r>
        <w:rPr>
          <w:rFonts w:hint="eastAsia"/>
        </w:rPr>
        <w:t xml:space="preserve">d_j，以及以全速算力池小时计的固定工作量</w:t>
      </w:r>
      <w:r>
        <w:t xml:space="preserve"> </w:t>
      </w:r>
      <w:r>
        <w:rPr>
          <w:rFonts w:hint="eastAsia"/>
        </w:rPr>
        <w:t xml:space="preserve">w_j。小时</w:t>
      </w:r>
      <w:r>
        <w:t xml:space="preserve"> </w:t>
      </w:r>
      <w:r>
        <w:rPr>
          <w:rFonts w:hint="eastAsia"/>
        </w:rPr>
        <w:t xml:space="preserve">t、实测功率档位</w:t>
      </w:r>
      <w:r>
        <w:t xml:space="preserve"> m </w:t>
      </w:r>
      <w:r>
        <w:rPr>
          <w:rFonts w:hint="eastAsia"/>
        </w:rPr>
        <w:t xml:space="preserve">的执行份额记为</w:t>
      </w:r>
      <w:r>
        <w:t xml:space="preserve"> y_jtm。</w:t>
      </w:r>
    </w:p>
    <w:p>
      <w:pPr>
        <w:pStyle w:val="BodyText"/>
      </w:pPr>
      <w:r>
        <w:t xml:space="preserve">[</w:t>
      </w:r>
      <w:r>
        <w:t xml:space="preserve"> </w:t>
      </w:r>
      <w:r>
        <w:t xml:space="preserve">y_{jtm}=0</w:t>
      </w:r>
      <w:r>
        <w:t xml:space="preserve">(t&lt;r_j </w:t>
      </w:r>
      <w:r>
        <w:t xml:space="preserve"> t</w:t>
      </w:r>
      <w:r>
        <w:t xml:space="preserve">d_j),</w:t>
      </w:r>
      <w:r>
        <w:t xml:space="preserve">y_{jtm}</w:t>
      </w:r>
      <w:r>
        <w:t xml:space="preserve">,</w:t>
      </w:r>
      <w:r>
        <w:t xml:space="preserve"> </w:t>
      </w:r>
      <w:r>
        <w:t xml:space="preserve">]</w:t>
      </w:r>
    </w:p>
    <w:p>
      <w:pPr>
        <w:pStyle w:val="BodyText"/>
      </w:pPr>
      <w:r>
        <w:t xml:space="preserve">[</w:t>
      </w:r>
      <w:r>
        <w:t xml:space="preserve"> </w:t>
      </w:r>
      <w:r>
        <w:rPr>
          <w:i/>
          <w:iCs/>
        </w:rPr>
        <w:t xml:space="preserve">{j,m}y</w:t>
      </w:r>
      <w:r>
        <w:t xml:space="preserve">{jtm}</w:t>
      </w:r>
      <w:r>
        <w:t xml:space="preserve">t,</w:t>
      </w:r>
      <w:r>
        <w:t xml:space="preserve"> </w:t>
      </w:r>
      <w:r>
        <w:t xml:space="preserve"> </w:t>
      </w:r>
      <w:r>
        <w:t xml:space="preserve">t</w:t>
      </w:r>
      <w:r>
        <w:rPr>
          <w:i/>
          <w:iCs/>
        </w:rPr>
        <w:t xml:space="preserve">{t,m}</w:t>
      </w:r>
      <w:r>
        <w:rPr>
          <w:i/>
          <w:iCs/>
        </w:rPr>
        <w:t xml:space="preserve">q_m y</w:t>
      </w:r>
      <w:r>
        <w:t xml:space="preserve">{jtm}=w_j</w:t>
      </w:r>
      <w:r>
        <w:t xml:space="preserve">j.</w:t>
      </w:r>
      <w:r>
        <w:t xml:space="preserve"> </w:t>
      </w:r>
      <w:r>
        <w:t xml:space="preserve">]</w:t>
      </w:r>
    </w:p>
    <w:p>
      <w:pPr>
        <w:pStyle w:val="BodyText"/>
      </w:pPr>
      <w:r>
        <w:rPr>
          <w:rFonts w:hint="eastAsia"/>
        </w:rPr>
        <w:t xml:space="preserve">第一组条件禁止提前执行、逾期执行和超用算力；第二个等式确保逐批工作量完整完成。模型不设置免费丢弃任务或期末遗留任务的变量。</w:t>
      </w:r>
    </w:p>
    <w:p>
      <w:pPr>
        <w:pStyle w:val="BodyText"/>
      </w:pPr>
      <w:r>
        <w:rPr>
          <w:rFonts w:hint="eastAsia"/>
        </w:rPr>
        <w:t xml:space="preserve">空闲功率</w:t>
      </w:r>
      <w:r>
        <w:t xml:space="preserve"> p_0 </w:t>
      </w:r>
      <w:r>
        <w:rPr>
          <w:rFonts w:hint="eastAsia"/>
        </w:rPr>
        <w:t xml:space="preserve">是独立指定的情景参数。当前小时平均</w:t>
      </w:r>
      <w:r>
        <w:t xml:space="preserve"> GPU </w:t>
      </w:r>
      <w:r>
        <w:rPr>
          <w:rFonts w:hint="eastAsia"/>
        </w:rPr>
        <w:t xml:space="preserve">功率写为：</w:t>
      </w:r>
    </w:p>
    <w:p>
      <w:pPr>
        <w:pStyle w:val="BodyText"/>
      </w:pPr>
      <w:r>
        <w:t xml:space="preserve">[</w:t>
      </w:r>
      <w:r>
        <w:t xml:space="preserve"> </w:t>
      </w:r>
      <w:r>
        <w:t xml:space="preserve">P_t=p_0+</w:t>
      </w:r>
      <w:r>
        <w:rPr>
          <w:i/>
          <w:iCs/>
        </w:rPr>
        <w:t xml:space="preserve">{j,m}(p_m-p_0)y</w:t>
      </w:r>
      <w:r>
        <w:t xml:space="preserve">{jtm}.</w:t>
      </w:r>
      <w:r>
        <w:t xml:space="preserve"> </w:t>
      </w:r>
      <w:r>
        <w:t xml:space="preserve">]</w:t>
      </w:r>
    </w:p>
    <w:p>
      <w:pPr>
        <w:pStyle w:val="BodyText"/>
      </w:pPr>
      <w:r>
        <w:rPr>
          <w:rFonts w:hint="eastAsia"/>
        </w:rPr>
        <w:t xml:space="preserve">这是可抢占、无切换开销的分时执行近似。p_0</w:t>
      </w:r>
      <w:r>
        <w:t xml:space="preserve"> </w:t>
      </w:r>
      <w:r>
        <w:rPr>
          <w:rFonts w:hint="eastAsia"/>
        </w:rPr>
        <w:t xml:space="preserve">尚未由这组实验测得，不能将其假设值作为新实测档位。正式版本需要验证任务切换、检查点和硬件兼容性，并扩展到不同业务池。</w:t>
      </w:r>
    </w:p>
    <w:bookmarkEnd w:id="22"/>
    <w:bookmarkStart w:id="23" w:name="目标与比较基准"/>
    <w:p>
      <w:pPr>
        <w:pStyle w:val="Heading3"/>
      </w:pPr>
      <w:r>
        <w:t xml:space="preserve">3.4 </w:t>
      </w:r>
      <w:r>
        <w:rPr>
          <w:rFonts w:hint="eastAsia"/>
        </w:rPr>
        <w:t xml:space="preserve">目标与比较基准</w:t>
      </w:r>
    </w:p>
    <w:p>
      <w:pPr>
        <w:pStyle w:val="FirstParagraph"/>
      </w:pPr>
      <w:r>
        <w:rPr>
          <w:rFonts w:hint="eastAsia"/>
        </w:rPr>
        <w:t xml:space="preserve">模型可以在给定价格与小时功率上限下最小化电费，也可以相对一个固定的参考功率序列</w:t>
      </w:r>
      <w:r>
        <w:t xml:space="preserve"> </w:t>
      </w:r>
      <w:r>
        <w:rPr>
          <w:rFonts w:hint="eastAsia"/>
        </w:rPr>
        <w:t xml:space="preserve">B_t，最大化事件小时集合</w:t>
      </w:r>
      <w:r>
        <w:t xml:space="preserve"> E </w:t>
      </w:r>
      <w:r>
        <w:rPr>
          <w:rFonts w:hint="eastAsia"/>
        </w:rPr>
        <w:t xml:space="preserve">内的最小削减量</w:t>
      </w:r>
      <w:r>
        <w:t xml:space="preserve"> </w:t>
      </w:r>
      <w:r>
        <w:rPr>
          <w:rFonts w:hint="eastAsia"/>
        </w:rPr>
        <w:t xml:space="preserve">k：</w:t>
      </w:r>
    </w:p>
    <w:p>
      <w:pPr>
        <w:pStyle w:val="BodyText"/>
      </w:pPr>
      <w:r>
        <w:t xml:space="preserve">[</w:t>
      </w:r>
      <w:r>
        <w:t xml:space="preserve"> </w:t>
      </w:r>
      <w:r>
        <w:t xml:space="preserve">k,</w:t>
      </w:r>
      <w:r>
        <w:t xml:space="preserve">P_t+k</w:t>
      </w:r>
      <w:r>
        <w:t xml:space="preserve">B_t</w:t>
      </w:r>
      <w:r>
        <w:t xml:space="preserve">t</w:t>
      </w:r>
      <w:r>
        <w:t xml:space="preserve">E.</w:t>
      </w:r>
      <w:r>
        <w:t xml:space="preserve"> </w:t>
      </w:r>
      <w:r>
        <w:t xml:space="preserve">]</w:t>
      </w:r>
    </w:p>
    <w:p>
      <w:pPr>
        <w:pStyle w:val="BodyText"/>
      </w:pPr>
      <w:r>
        <w:rPr>
          <w:rFonts w:hint="eastAsia"/>
        </w:rPr>
        <w:t xml:space="preserve">该约束仅保证每个建模小时的平均值，不保证小时内部的瞬时恒定削减。k</w:t>
      </w:r>
      <w:r>
        <w:t xml:space="preserve"> </w:t>
      </w:r>
      <w:r>
        <w:rPr>
          <w:rFonts w:hint="eastAsia"/>
        </w:rPr>
        <w:t xml:space="preserve">允许为负，以暴露必须增加功率的情形。当前参考序列由全速、工作保持的最早期限调度生成，是明确的模型对照，并不是可用于市场结算的基线。</w:t>
      </w:r>
    </w:p>
    <w:p>
      <w:pPr>
        <w:pStyle w:val="BodyText"/>
      </w:pPr>
      <w:r>
        <w:rPr>
          <w:rFonts w:hint="eastAsia"/>
        </w:rPr>
        <w:t xml:space="preserve">为隔离时间窗口的作用，还运行将所有任务窗口放宽为</w:t>
      </w:r>
      <w:r>
        <w:t xml:space="preserve"> [0,T) </w:t>
      </w:r>
      <w:r>
        <w:rPr>
          <w:rFonts w:hint="eastAsia"/>
        </w:rPr>
        <w:t xml:space="preserve">的对照，其可行域包含原问题。因此放宽后的最大响应不能低于原问题；差值仅表示该特定放宽下的上界偏差。它不等同于企业与系统之间的经济兑现差距。</w:t>
      </w:r>
    </w:p>
    <w:p>
      <w:pPr>
        <w:pStyle w:val="BodyText"/>
      </w:pPr>
      <w:r>
        <w:rPr>
          <w:rFonts w:hint="eastAsia"/>
        </w:rPr>
        <w:t xml:space="preserve">响应上限的单一目标解可能具有不同的恢复期电耗。现在采用两步求解：先求最大响应，再固定该承诺并最小化运行成本；同时在一系列固定承诺上计算成本曲线。此前只有响应目标的诊断输出仍保留为旧基准，不将其任意恢复解的电耗解释为最低成本。</w:t>
      </w:r>
    </w:p>
    <w:bookmarkEnd w:id="23"/>
    <w:bookmarkStart w:id="24" w:name="已完成的数值验证"/>
    <w:p>
      <w:pPr>
        <w:pStyle w:val="Heading3"/>
      </w:pPr>
      <w:r>
        <w:t xml:space="preserve">3.5 </w:t>
      </w:r>
      <w:r>
        <w:rPr>
          <w:rFonts w:hint="eastAsia"/>
        </w:rPr>
        <w:t xml:space="preserve">已完成的数值验证</w:t>
      </w:r>
    </w:p>
    <w:p>
      <w:pPr>
        <w:pStyle w:val="FirstParagraph"/>
      </w:pPr>
      <w:r>
        <w:rPr>
          <w:rFonts w:hint="eastAsia"/>
        </w:rPr>
        <w:t xml:space="preserve">两块时段模型通过了可手算的响应界限、零恢复、满利用率和恢复单调性检查。逐批模型通过了期限约束、禁止提前执行、功率上限下的不可行性、每个事件小时约束，以及空闲功率和时间单位检查。另用</w:t>
      </w:r>
      <w:r>
        <w:t xml:space="preserve"> 120 </w:t>
      </w:r>
      <w:r>
        <w:rPr>
          <w:rFonts w:hint="eastAsia"/>
        </w:rPr>
        <w:t xml:space="preserve">个单位任务、单位容量的小实例穷举所有可行任务分配，与线性模型的可行性逐一比对，结果一致。</w:t>
      </w:r>
    </w:p>
    <w:p>
      <w:pPr>
        <w:pStyle w:val="BodyText"/>
      </w:pPr>
      <w:r>
        <w:rPr>
          <w:rFonts w:hint="eastAsia"/>
        </w:rPr>
        <w:t xml:space="preserve">上述检查支持当前确定性模型的实现正确性，不证明其生产系统外部有效性，也不代替任务级独立数据验证。</w:t>
      </w:r>
    </w:p>
    <w:bookmarkEnd w:id="24"/>
    <w:bookmarkStart w:id="25" w:name="承诺成本与企业不参与时的选择"/>
    <w:p>
      <w:pPr>
        <w:pStyle w:val="Heading3"/>
      </w:pPr>
      <w:r>
        <w:t xml:space="preserve">3.6 </w:t>
      </w:r>
      <w:r>
        <w:rPr>
          <w:rFonts w:hint="eastAsia"/>
        </w:rPr>
        <w:t xml:space="preserve">承诺成本与企业不参与时的选择</w:t>
      </w:r>
    </w:p>
    <w:p>
      <w:pPr>
        <w:pStyle w:val="FirstParagraph"/>
      </w:pPr>
      <w:r>
        <w:rPr>
          <w:rFonts w:hint="eastAsia"/>
        </w:rPr>
        <w:t xml:space="preserve">令</w:t>
      </w:r>
      <w:r>
        <w:t xml:space="preserve"> F </w:t>
      </w:r>
      <w:r>
        <w:rPr>
          <w:rFonts w:hint="eastAsia"/>
        </w:rPr>
        <w:t xml:space="preserve">为固定任务、服务和算力约束下的可行调度集合，J(x)</w:t>
      </w:r>
      <w:r>
        <w:t xml:space="preserve"> </w:t>
      </w:r>
      <w:r>
        <w:rPr>
          <w:rFonts w:hint="eastAsia"/>
        </w:rPr>
        <w:t xml:space="preserve">为给定价格下的电费及有依据的服务调整成本。无承诺时，企业的外部选项为自由优化的</w:t>
      </w:r>
      <w:r>
        <w:t xml:space="preserve"> C_free = min{x∈F} </w:t>
      </w:r>
      <w:r>
        <w:rPr>
          <w:rFonts w:hint="eastAsia"/>
        </w:rPr>
        <w:t xml:space="preserve">J(x)。对固定参考负荷</w:t>
      </w:r>
      <w:r>
        <w:t xml:space="preserve"> B_t </w:t>
      </w:r>
      <w:r>
        <w:rPr>
          <w:rFonts w:hint="eastAsia"/>
        </w:rPr>
        <w:t xml:space="preserve">和承诺</w:t>
      </w:r>
      <w:r>
        <w:t xml:space="preserve"> </w:t>
      </w:r>
      <w:r>
        <w:rPr>
          <w:rFonts w:hint="eastAsia"/>
        </w:rPr>
        <w:t xml:space="preserve">k，定义</w:t>
      </w:r>
      <w:r>
        <w:t xml:space="preserve"> F(k) = {x∈F: </w:t>
      </w:r>
      <w:r>
        <w:rPr>
          <w:rFonts w:hint="eastAsia"/>
        </w:rPr>
        <w:t xml:space="preserve">P_t(x)≤B_t−k，t∈E}，并求</w:t>
      </w:r>
      <w:r>
        <w:t xml:space="preserve"> C(k) = min{x∈F(k)} J(x)。</w:t>
      </w:r>
    </w:p>
    <w:p>
      <w:pPr>
        <w:pStyle w:val="BodyText"/>
      </w:pPr>
      <w:r>
        <w:rPr>
          <w:rFonts w:hint="eastAsia"/>
        </w:rPr>
        <w:t xml:space="preserve">机会成本为</w:t>
      </w:r>
      <w:r>
        <w:t xml:space="preserve"> </w:t>
      </w:r>
      <w:r>
        <w:rPr>
          <w:rFonts w:hint="eastAsia"/>
        </w:rPr>
        <w:t xml:space="preserve">ΔC(k)=C(k)−C_free。由于承诺增加约束，ΔC(k)非负；不可行承诺单独报告。在当前连续、线性且价格固定的模型中，C(k)在可行区间上非减且凸，这是可行集嵌套与线性规划的性质，不作为本研究新的经验发现。功率上限约束的对偶变量提供成本次梯度，已在非折点处与有限差分核对。</w:t>
      </w:r>
    </w:p>
    <w:p>
      <w:pPr>
        <w:pStyle w:val="BodyText"/>
      </w:pPr>
      <w:r>
        <w:rPr>
          <w:rFonts w:hint="eastAsia"/>
        </w:rPr>
        <w:t xml:space="preserve">C(0)不一定等于C_free：即便承诺量为零，P_t≤B_t仍可能限制企业原本最优的运行方式。因此不能以C(k)−C(0)替代完整机会成本，也不能把任意参考调度的高成本当成企业不参与时的成本。当前参考负荷是明确的数学比较对象；实际市场还需独立建立可验证、抗操纵的基线。</w:t>
      </w:r>
    </w:p>
    <w:p>
      <w:pPr>
        <w:pStyle w:val="BodyText"/>
      </w:pPr>
      <w:r>
        <w:rPr>
          <w:rFonts w:hint="eastAsia"/>
        </w:rPr>
        <w:t xml:space="preserve">在确定性、风险中性且全部相关成本已纳入的条件下，总补偿至少覆盖ΔC(k)才满足弱参与条件；恰好覆盖意味着企业无差异，并不保证严格愿意参与。真实交易成本、违约风险、资本占用和策略行为尚未校准，所以该表达式不等于已经估计的企业报价或推荐补贴。</w:t>
      </w:r>
    </w:p>
    <w:bookmarkEnd w:id="25"/>
    <w:bookmarkStart w:id="26" w:name="成本模型验证与业务时间尺度"/>
    <w:p>
      <w:pPr>
        <w:pStyle w:val="Heading3"/>
      </w:pPr>
      <w:r>
        <w:t xml:space="preserve">3.7 </w:t>
      </w:r>
      <w:r>
        <w:rPr>
          <w:rFonts w:hint="eastAsia"/>
        </w:rPr>
        <w:t xml:space="preserve">成本模型验证与业务时间尺度</w:t>
      </w:r>
    </w:p>
    <w:p>
      <w:pPr>
        <w:pStyle w:val="FirstParagraph"/>
      </w:pPr>
      <w:r>
        <w:rPr>
          <w:rFonts w:hint="eastAsia"/>
        </w:rPr>
        <w:t xml:space="preserve">固定承诺模型通过了两小时手算成本、零承诺约束效应、超出可行边界、对偶与有限差分、服务成本单位以及两步最优解检查。使用实测功率档位配合假设到达、期限和价格的</w:t>
      </w:r>
      <w:r>
        <w:t xml:space="preserve"> 72 </w:t>
      </w:r>
      <w:r>
        <w:rPr>
          <w:rFonts w:hint="eastAsia"/>
        </w:rPr>
        <w:t xml:space="preserve">条成本曲线、360</w:t>
      </w:r>
      <w:r>
        <w:t xml:space="preserve"> </w:t>
      </w:r>
      <w:r>
        <w:rPr>
          <w:rFonts w:hint="eastAsia"/>
        </w:rPr>
        <w:t xml:space="preserve">个固定承诺点，验证了所测试区间的单调性和凸性。其数值不是实测电价下的中国企业成本。</w:t>
      </w:r>
    </w:p>
    <w:p>
      <w:pPr>
        <w:pStyle w:val="BodyText"/>
      </w:pPr>
      <w:r>
        <w:rPr>
          <w:rFonts w:hint="eastAsia"/>
        </w:rPr>
        <w:t xml:space="preserve">小时级可延期任务模型不能直接用作实时推理服务模型。DynamoLLM</w:t>
      </w:r>
      <w:r>
        <w:t xml:space="preserve"> </w:t>
      </w:r>
      <w:r>
        <w:rPr>
          <w:rFonts w:hint="eastAsia"/>
        </w:rPr>
        <w:t xml:space="preserve">的公开实验明确区分首</w:t>
      </w:r>
      <w:r>
        <w:t xml:space="preserve"> token </w:t>
      </w:r>
      <w:r>
        <w:rPr>
          <w:rFonts w:hint="eastAsia"/>
        </w:rPr>
        <w:t xml:space="preserve">和</w:t>
      </w:r>
      <w:r>
        <w:t xml:space="preserve"> token </w:t>
      </w:r>
      <w:r>
        <w:rPr>
          <w:rFonts w:hint="eastAsia"/>
        </w:rPr>
        <w:t xml:space="preserve">间延迟，并按请求长度、硬件和负载设置服务约束。[13]</w:t>
      </w:r>
      <w:r>
        <w:t xml:space="preserve"> </w:t>
      </w:r>
      <w:r>
        <w:rPr>
          <w:rFonts w:hint="eastAsia"/>
        </w:rPr>
        <w:t xml:space="preserve">本研究将训练与批处理的小时级调度和实时推理的秒级／更细服务检验区分：实时推理在获得相应延迟证据前，不授予任意跨小时延期能力；可采用满足细粒度服务约束后的聚合功率响应包络。用真实轨迹回放时，最终输出</w:t>
      </w:r>
      <w:r>
        <w:t xml:space="preserve"> token </w:t>
      </w:r>
      <w:r>
        <w:rPr>
          <w:rFonts w:hint="eastAsia"/>
        </w:rPr>
        <w:t xml:space="preserve">数也是事后信息，不得在在线控制中默认提前已知。</w:t>
      </w:r>
    </w:p>
    <w:bookmarkEnd w:id="26"/>
    <w:bookmarkEnd w:id="27"/>
    <w:bookmarkStart w:id="31" w:name="已完成的来源再分析结果"/>
    <w:p>
      <w:pPr>
        <w:pStyle w:val="Heading2"/>
      </w:pPr>
      <w:r>
        <w:t xml:space="preserve">4. </w:t>
      </w:r>
      <w:r>
        <w:rPr>
          <w:rFonts w:hint="eastAsia"/>
        </w:rPr>
        <w:t xml:space="preserve">已完成的来源再分析结果</w:t>
      </w:r>
    </w:p>
    <w:bookmarkStart w:id="28" w:name="相同吞吐量筛选下的功率差异"/>
    <w:p>
      <w:pPr>
        <w:pStyle w:val="Heading3"/>
      </w:pPr>
      <w:r>
        <w:t xml:space="preserve">4.1 </w:t>
      </w:r>
      <w:r>
        <w:rPr>
          <w:rFonts w:hint="eastAsia"/>
        </w:rPr>
        <w:t xml:space="preserve">相同吞吐量筛选下的功率差异</w:t>
      </w:r>
    </w:p>
    <w:p>
      <w:pPr>
        <w:pStyle w:val="FirstParagraph"/>
      </w:pPr>
      <w:r>
        <w:rPr>
          <w:rFonts w:hint="eastAsia"/>
        </w:rPr>
        <w:t xml:space="preserve">在分析者设置的</w:t>
      </w:r>
      <w:r>
        <w:t xml:space="preserve"> 90% </w:t>
      </w:r>
      <w:r>
        <w:rPr>
          <w:rFonts w:hint="eastAsia"/>
        </w:rPr>
        <w:t xml:space="preserve">吞吐量下限下，从每种配置的实测档位中选择最低功率档位，可得</w:t>
      </w:r>
      <w:r>
        <w:t xml:space="preserve"> GPU </w:t>
      </w:r>
      <w:r>
        <w:rPr>
          <w:rFonts w:hint="eastAsia"/>
        </w:rPr>
        <w:t xml:space="preserve">功率下降</w:t>
      </w:r>
      <w:r>
        <w:t xml:space="preserve"> </w:t>
      </w:r>
      <w:r>
        <w:rPr>
          <w:rFonts w:hint="eastAsia"/>
        </w:rPr>
        <w:t xml:space="preserve">11.49%—29.37%。该筛选允许吞吐量低于参考，不等价于相同截止时间下完成相同工作量。因此它用于展示局部响应权衡，不能被报告为已经可向电网承诺的削减量。</w:t>
      </w:r>
    </w:p>
    <w:bookmarkEnd w:id="28"/>
    <w:bookmarkStart w:id="29" w:name="插值误差"/>
    <w:p>
      <w:pPr>
        <w:pStyle w:val="Heading3"/>
      </w:pPr>
      <w:r>
        <w:t xml:space="preserve">4.2 </w:t>
      </w:r>
      <w:r>
        <w:rPr>
          <w:rFonts w:hint="eastAsia"/>
        </w:rPr>
        <w:t xml:space="preserve">插值误差</w:t>
      </w:r>
    </w:p>
    <w:p>
      <w:pPr>
        <w:pStyle w:val="FirstParagraph"/>
      </w:pPr>
      <w:r>
        <w:rPr>
          <w:rFonts w:hint="eastAsia"/>
        </w:rPr>
        <w:t xml:space="preserve">逐一留出</w:t>
      </w:r>
      <w:r>
        <w:t xml:space="preserve"> 32 </w:t>
      </w:r>
      <w:r>
        <w:rPr>
          <w:rFonts w:hint="eastAsia"/>
        </w:rPr>
        <w:t xml:space="preserve">个内部功率档位，利用同一配置其余点在实测功率—吞吐量坐标上线性插值，平均绝对误差为</w:t>
      </w:r>
      <w:r>
        <w:t xml:space="preserve"> 3.29 </w:t>
      </w:r>
      <w:r>
        <w:rPr>
          <w:rFonts w:hint="eastAsia"/>
        </w:rPr>
        <w:t xml:space="preserve">个百分点，最大</w:t>
      </w:r>
      <w:r>
        <w:t xml:space="preserve"> 12.35 </w:t>
      </w:r>
      <w:r>
        <w:rPr>
          <w:rFonts w:hint="eastAsia"/>
        </w:rPr>
        <w:t xml:space="preserve">个百分点。模型优先保留实测离散档位。由于各次检验共享端点和训练记录，这些误差不按独立重复实验解释，也不外推为未知硬件的误差界。</w:t>
      </w:r>
    </w:p>
    <w:bookmarkEnd w:id="29"/>
    <w:bookmarkStart w:id="30" w:name="守恒不等于期限可行诊断例"/>
    <w:p>
      <w:pPr>
        <w:pStyle w:val="Heading3"/>
      </w:pPr>
      <w:r>
        <w:t xml:space="preserve">4.3 </w:t>
      </w:r>
      <w:r>
        <w:rPr>
          <w:rFonts w:hint="eastAsia"/>
        </w:rPr>
        <w:t xml:space="preserve">守恒不等于期限可行：诊断例</w:t>
      </w:r>
    </w:p>
    <w:p>
      <w:pPr>
        <w:pStyle w:val="FirstParagraph"/>
      </w:pPr>
      <w:r>
        <w:rPr>
          <w:rFonts w:hint="eastAsia"/>
        </w:rPr>
        <w:t xml:space="preserve">考虑两个小时、吞吐量与功率均归一化为</w:t>
      </w:r>
      <w:r>
        <w:t xml:space="preserve"> 1 </w:t>
      </w:r>
      <w:r>
        <w:rPr>
          <w:rFonts w:hint="eastAsia"/>
        </w:rPr>
        <w:t xml:space="preserve">的单一运行档位，空闲功率为</w:t>
      </w:r>
      <w:r>
        <w:t xml:space="preserve"> </w:t>
      </w:r>
      <w:r>
        <w:rPr>
          <w:rFonts w:hint="eastAsia"/>
        </w:rPr>
        <w:t xml:space="preserve">0。每小时参考需求为</w:t>
      </w:r>
      <w:r>
        <w:t xml:space="preserve"> </w:t>
      </w:r>
      <w:r>
        <w:rPr>
          <w:rFonts w:hint="eastAsia"/>
        </w:rPr>
        <w:t xml:space="preserve">0.75。若</w:t>
      </w:r>
      <w:r>
        <w:t xml:space="preserve"> 1.5 </w:t>
      </w:r>
      <w:r>
        <w:rPr>
          <w:rFonts w:hint="eastAsia"/>
        </w:rPr>
        <w:t xml:space="preserve">单位工作从起点可用且统一在两小时结束前完成，第二小时最多执行</w:t>
      </w:r>
      <w:r>
        <w:t xml:space="preserve"> </w:t>
      </w:r>
      <w:r>
        <w:rPr>
          <w:rFonts w:hint="eastAsia"/>
        </w:rPr>
        <w:t xml:space="preserve">1，因此第一小时至少执行</w:t>
      </w:r>
      <w:r>
        <w:t xml:space="preserve"> </w:t>
      </w:r>
      <w:r>
        <w:rPr>
          <w:rFonts w:hint="eastAsia"/>
        </w:rPr>
        <w:t xml:space="preserve">0.5，相对</w:t>
      </w:r>
      <w:r>
        <w:t xml:space="preserve"> 0.75 </w:t>
      </w:r>
      <w:r>
        <w:rPr>
          <w:rFonts w:hint="eastAsia"/>
        </w:rPr>
        <w:t xml:space="preserve">的参考可减少</w:t>
      </w:r>
      <w:r>
        <w:t xml:space="preserve"> 0.25。</w:t>
      </w:r>
    </w:p>
    <w:p>
      <w:pPr>
        <w:pStyle w:val="BodyText"/>
      </w:pPr>
      <w:r>
        <w:rPr>
          <w:rFonts w:hint="eastAsia"/>
        </w:rPr>
        <w:t xml:space="preserve">若改为每小时分别到达</w:t>
      </w:r>
      <w:r>
        <w:t xml:space="preserve"> 0.75 </w:t>
      </w:r>
      <w:r>
        <w:rPr>
          <w:rFonts w:hint="eastAsia"/>
        </w:rPr>
        <w:t xml:space="preserve">单位工作，且必须在当小时结束前完成，则第一小时仍必须执行</w:t>
      </w:r>
      <w:r>
        <w:t xml:space="preserve"> </w:t>
      </w:r>
      <w:r>
        <w:rPr>
          <w:rFonts w:hint="eastAsia"/>
        </w:rPr>
        <w:t xml:space="preserve">0.75，削减量为</w:t>
      </w:r>
      <w:r>
        <w:t xml:space="preserve"> </w:t>
      </w:r>
      <w:r>
        <w:rPr>
          <w:rFonts w:hint="eastAsia"/>
        </w:rPr>
        <w:t xml:space="preserve">0。总工作量和参考负荷未变，只有任务窗口改变。此例是已验证的数学诊断，不是统计发现；其现实重要性需要真实到达和服务约束检验。</w:t>
      </w:r>
    </w:p>
    <w:bookmarkEnd w:id="30"/>
    <w:bookmarkEnd w:id="31"/>
    <w:bookmarkStart w:id="42" w:name="联合系统模型与待完成的地区研究"/>
    <w:p>
      <w:pPr>
        <w:pStyle w:val="Heading2"/>
      </w:pPr>
      <w:r>
        <w:t xml:space="preserve">5. </w:t>
      </w:r>
      <w:r>
        <w:rPr>
          <w:rFonts w:hint="eastAsia"/>
        </w:rPr>
        <w:t xml:space="preserve">联合系统模型与待完成的地区研究</w:t>
      </w:r>
    </w:p>
    <w:bookmarkStart w:id="32" w:name="已实现的联合求解器"/>
    <w:p>
      <w:pPr>
        <w:pStyle w:val="Heading3"/>
      </w:pPr>
      <w:r>
        <w:t xml:space="preserve">5.1 </w:t>
      </w:r>
      <w:r>
        <w:rPr>
          <w:rFonts w:hint="eastAsia"/>
        </w:rPr>
        <w:t xml:space="preserve">已实现的联合求解器</w:t>
      </w:r>
    </w:p>
    <w:p>
      <w:pPr>
        <w:pStyle w:val="FirstParagraph"/>
      </w:pPr>
      <w:r>
        <w:rPr>
          <w:rFonts w:hint="eastAsia"/>
        </w:rPr>
        <w:t xml:space="preserve">当前已将多节点本地计算任务与发电、输电、储能投资及连续时序运行联立求解。投资变量跨场景共享，运行与任务变量按场景设置；目标包含研究期投资、概率加权发电运行、线路流量、储能吞吐、指定服务延后成本和非</w:t>
      </w:r>
      <w:r>
        <w:t xml:space="preserve"> AI </w:t>
      </w:r>
      <w:r>
        <w:rPr>
          <w:rFonts w:hint="eastAsia"/>
        </w:rPr>
        <w:t xml:space="preserve">未供电惩罚。投资费用的年化与研究期权重由调用方明确设置。</w:t>
      </w:r>
    </w:p>
    <w:p>
      <w:pPr>
        <w:pStyle w:val="BodyText"/>
      </w:pPr>
      <w:r>
        <w:rPr>
          <w:rFonts w:hint="eastAsia"/>
        </w:rPr>
        <w:t xml:space="preserve">任务沿用逐批到达、期限与工作量约束，算力池计入空闲功率和并网功率上限。固定外部功率轨迹时仍保留逐批任务等式，因而不会把电力侧可以供给、计算侧却无法完成的轨迹误判为可行。输电按发送端容量和接收端损耗处理，两方向共享容量；储能状态连续递推，期末回到初始状态。</w:t>
      </w:r>
    </w:p>
    <w:p>
      <w:pPr>
        <w:pStyle w:val="BodyText"/>
      </w:pPr>
      <w:r>
        <w:rPr>
          <w:rFonts w:hint="eastAsia"/>
        </w:rPr>
        <w:t xml:space="preserve">模型可设置期望排放和非</w:t>
      </w:r>
      <w:r>
        <w:t xml:space="preserve"> AI </w:t>
      </w:r>
      <w:r>
        <w:rPr>
          <w:rFonts w:hint="eastAsia"/>
        </w:rPr>
        <w:t xml:space="preserve">未供电量上限。零未供电上限只证明所提供场景内的供需约束满足，不能替代随机故障和样本外可靠性检验。当前运输网络、分时执行和完美预见均是模型近似；尚未实现机组启停、任务迁移、检查点开销和非预见性控制。完整公式、单位、约束和验证方法另见《联合模型方法与验证</w:t>
      </w:r>
      <w:r>
        <w:t xml:space="preserve"> v0.1》。</w:t>
      </w:r>
    </w:p>
    <w:bookmarkEnd w:id="32"/>
    <w:bookmarkStart w:id="33" w:name="联合模型数学验证"/>
    <w:p>
      <w:pPr>
        <w:pStyle w:val="Heading3"/>
      </w:pPr>
      <w:r>
        <w:t xml:space="preserve">5.2 </w:t>
      </w:r>
      <w:r>
        <w:rPr>
          <w:rFonts w:hint="eastAsia"/>
        </w:rPr>
        <w:t xml:space="preserve">联合模型数学验证</w:t>
      </w:r>
    </w:p>
    <w:p>
      <w:pPr>
        <w:pStyle w:val="FirstParagraph"/>
      </w:pPr>
      <w:r>
        <w:rPr>
          <w:rFonts w:hint="eastAsia"/>
        </w:rPr>
        <w:t xml:space="preserve">首轮共完成</w:t>
      </w:r>
      <w:r>
        <w:t xml:space="preserve"> 118 </w:t>
      </w:r>
      <w:r>
        <w:rPr>
          <w:rFonts w:hint="eastAsia"/>
        </w:rPr>
        <w:t xml:space="preserve">项检查，其中包括</w:t>
      </w:r>
      <w:r>
        <w:t xml:space="preserve"> 60 </w:t>
      </w:r>
      <w:r>
        <w:rPr>
          <w:rFonts w:hint="eastAsia"/>
        </w:rPr>
        <w:t xml:space="preserve">个利用分段线性成本转折点独立求解的投资案例、40</w:t>
      </w:r>
      <w:r>
        <w:t xml:space="preserve"> </w:t>
      </w:r>
      <w:r>
        <w:rPr>
          <w:rFonts w:hint="eastAsia"/>
        </w:rPr>
        <w:t xml:space="preserve">个直接穷举排程的单位任务案例，以及损耗、恢复、时间单位、初末储能、排放和未供电等检查。验证从输出独立重构了电力平衡、任务完成量、储能状态和成本分项，所有检查通过。</w:t>
      </w:r>
    </w:p>
    <w:p>
      <w:pPr>
        <w:pStyle w:val="BodyText"/>
      </w:pPr>
      <w:r>
        <w:rPr>
          <w:rFonts w:hint="eastAsia"/>
        </w:rPr>
        <w:t xml:space="preserve">一个完全人为设定的两小时案例检验了任务时移能否正确改变新增供电容量。两个方案完成同一批任务；在首小时存在可用电源、第二小时需要新建供电能力的条件下，模型正确识别出时移可避免该案例的新增容量。该算例是实现检验，不是中国容量价值的初步估计，也不作为原创实证发现。</w:t>
      </w:r>
    </w:p>
    <w:bookmarkEnd w:id="33"/>
    <w:bookmarkStart w:id="34" w:name="水量守恒的梯级水电扩展"/>
    <w:p>
      <w:pPr>
        <w:pStyle w:val="Heading3"/>
      </w:pPr>
      <w:r>
        <w:t xml:space="preserve">5.3 </w:t>
      </w:r>
      <w:r>
        <w:rPr>
          <w:rFonts w:hint="eastAsia"/>
        </w:rPr>
        <w:t xml:space="preserve">水量守恒的梯级水电扩展</w:t>
      </w:r>
    </w:p>
    <w:p>
      <w:pPr>
        <w:pStyle w:val="FirstParagraph"/>
      </w:pPr>
      <w:r>
        <w:rPr>
          <w:rFonts w:hint="eastAsia"/>
        </w:rPr>
        <w:t xml:space="preserve">联合求解器新增各水库的可用水量状态，以当地增量来水、上游发电放水及弃水、本站发电耗水与弃水建立连续守恒。水量采用</w:t>
      </w:r>
      <w:r>
        <w:t xml:space="preserve"> </w:t>
      </w:r>
      <w:r>
        <w:rPr>
          <w:rFonts w:hint="eastAsia"/>
        </w:rPr>
        <w:t xml:space="preserve">hm³，发电采用</w:t>
      </w:r>
      <w:r>
        <w:t xml:space="preserve"> </w:t>
      </w:r>
      <w:r>
        <w:rPr>
          <w:rFonts w:hint="eastAsia"/>
        </w:rPr>
        <w:t xml:space="preserve">MW，以各站</w:t>
      </w:r>
      <w:r>
        <w:t xml:space="preserve"> m³/MWh </w:t>
      </w:r>
      <w:r>
        <w:rPr>
          <w:rFonts w:hint="eastAsia"/>
        </w:rPr>
        <w:t xml:space="preserve">系数换算。初始可用水量显式给定，期末回到相同水量；机组可用率允许随投运时间变化。这样，上游发电量不会直接复制为下游可发电量。当前采用无河道时延、固定耗水系数近似，尚未包含防洪、生态下泄、水头变化与蒸发。</w:t>
      </w:r>
    </w:p>
    <w:p>
      <w:pPr>
        <w:pStyle w:val="BodyText"/>
      </w:pPr>
      <w:r>
        <w:rPr>
          <w:rFonts w:hint="eastAsia"/>
        </w:rPr>
        <w:t xml:space="preserve">该扩展通过</w:t>
      </w:r>
      <w:r>
        <w:t xml:space="preserve"> 74 </w:t>
      </w:r>
      <w:r>
        <w:rPr>
          <w:rFonts w:hint="eastAsia"/>
        </w:rPr>
        <w:t xml:space="preserve">项检查，其中包括</w:t>
      </w:r>
      <w:r>
        <w:t xml:space="preserve"> 60 </w:t>
      </w:r>
      <w:r>
        <w:rPr>
          <w:rFonts w:hint="eastAsia"/>
        </w:rPr>
        <w:t xml:space="preserve">个独立动态规划算例。验证重新计算了每座水库的原始</w:t>
      </w:r>
      <w:r>
        <w:t xml:space="preserve"> m³ </w:t>
      </w:r>
      <w:r>
        <w:rPr>
          <w:rFonts w:hint="eastAsia"/>
        </w:rPr>
        <w:t xml:space="preserve">收支、全流域来水与出口水量以及电力平衡；此前</w:t>
      </w:r>
      <w:r>
        <w:t xml:space="preserve"> 118 </w:t>
      </w:r>
      <w:r>
        <w:rPr>
          <w:rFonts w:hint="eastAsia"/>
        </w:rPr>
        <w:t xml:space="preserve">项联合模型检查也在扩展后复跑通过。所有案例仍为数学验证，不代替实际流域校准。完整方程与来源限制见《水电约束与数据校核</w:t>
      </w:r>
      <w:r>
        <w:t xml:space="preserve"> v0.1》。</w:t>
      </w:r>
    </w:p>
    <w:bookmarkEnd w:id="34"/>
    <w:bookmarkStart w:id="35" w:name="尚待完成的地区对照与可靠性验证"/>
    <w:p>
      <w:pPr>
        <w:pStyle w:val="Heading3"/>
      </w:pPr>
      <w:r>
        <w:t xml:space="preserve">5.4 </w:t>
      </w:r>
      <w:r>
        <w:rPr>
          <w:rFonts w:hint="eastAsia"/>
        </w:rPr>
        <w:t xml:space="preserve">尚待完成的地区对照与可靠性验证</w:t>
      </w:r>
    </w:p>
    <w:p>
      <w:pPr>
        <w:pStyle w:val="FirstParagraph"/>
      </w:pPr>
      <w:r>
        <w:rPr>
          <w:rFonts w:hint="eastAsia"/>
        </w:rPr>
        <w:t xml:space="preserve">地区研究目前已有</w:t>
      </w:r>
      <w:r>
        <w:t xml:space="preserve"> 2020 </w:t>
      </w:r>
      <w:r>
        <w:rPr>
          <w:rFonts w:hint="eastAsia"/>
        </w:rPr>
        <w:t xml:space="preserve">年分省年度负荷锚定输入，但逐时形状尚未独立验证；仍需将核对后的资产年代、投运时间、发电与上网口径、风光和完整水电约束接入模型并完成基年回测。对于可迁移任务，需要加入有来源的通信流量、时延、硬件兼容及目的地容量约束。</w:t>
      </w:r>
    </w:p>
    <w:p>
      <w:pPr>
        <w:pStyle w:val="BodyText"/>
      </w:pPr>
      <w:r>
        <w:t xml:space="preserve">S0、S1、S2、S3 </w:t>
      </w:r>
      <w:r>
        <w:rPr>
          <w:rFonts w:hint="eastAsia"/>
        </w:rPr>
        <w:t xml:space="preserve">分别表示刚性基准、企业自主优化、系统协调和机制实施。各情景使用相同的任务需求、服务质量要求和供电可靠性标准。企业电费及补偿影响参与决策，但社会资源成本核算应避免与发电成本重复相加。成本目标不预设排放同时最优。</w:t>
      </w:r>
    </w:p>
    <w:p>
      <w:pPr>
        <w:pStyle w:val="BodyText"/>
      </w:pPr>
      <w:r>
        <w:rPr>
          <w:rFonts w:hint="eastAsia"/>
        </w:rPr>
        <w:t xml:space="preserve">容量价值需通过增加或减少供电能力，使对照系统在独立连续时序的故障、天气和需求样本下具有相同可靠性来识别。不能以平均功率降幅或外生比例代替可靠容量检验。关键任务服务指标与电力未供电指标分别记录。</w:t>
      </w:r>
    </w:p>
    <w:p>
      <w:pPr>
        <w:pStyle w:val="BodyText"/>
      </w:pPr>
      <w:r>
        <w:rPr>
          <w:rFonts w:hint="eastAsia"/>
        </w:rPr>
        <w:t xml:space="preserve">机制部分优先研究有期限、持续时间和恢复边界的可验证承诺。比较给定承诺下的最低兑现成本、补偿及企业参与收益，并检查基线操纵、信息需求和违约处置。正式机制效果尚未产生。</w:t>
      </w:r>
    </w:p>
    <w:bookmarkEnd w:id="35"/>
    <w:bookmarkStart w:id="36" w:name="选区筛选矩阵"/>
    <w:p>
      <w:pPr>
        <w:pStyle w:val="Heading3"/>
      </w:pPr>
      <w:r>
        <w:t xml:space="preserve">5.5 </w:t>
      </w:r>
      <w:r>
        <w:rPr>
          <w:rFonts w:hint="eastAsia"/>
        </w:rPr>
        <w:t xml:space="preserve">选区筛选矩阵</w:t>
      </w:r>
    </w:p>
    <w:p>
      <w:pPr>
        <w:pStyle w:val="FirstParagraph"/>
      </w:pPr>
      <w:r>
        <w:rPr>
          <w:rFonts w:hint="eastAsia"/>
        </w:rPr>
        <w:t xml:space="preserve">用已锚定的年度负荷、归档装机（未核实为</w:t>
      </w:r>
      <w:r>
        <w:t xml:space="preserve"> 2020 </w:t>
      </w:r>
      <w:r>
        <w:rPr>
          <w:rFonts w:hint="eastAsia"/>
        </w:rPr>
        <w:t xml:space="preserve">年实际装机）、重建的省间联络容量（未验证）以及</w:t>
      </w:r>
      <w:r>
        <w:t xml:space="preserve"> 2022 </w:t>
      </w:r>
      <w:r>
        <w:rPr>
          <w:rFonts w:hint="eastAsia"/>
        </w:rPr>
        <w:t xml:space="preserve">年国家算力枢纽批复，对</w:t>
      </w:r>
      <w:r>
        <w:t xml:space="preserve"> 31 </w:t>
      </w:r>
      <w:r>
        <w:rPr>
          <w:rFonts w:hint="eastAsia"/>
        </w:rPr>
        <w:t xml:space="preserve">省做筛选（</w:t>
      </w:r>
      <w:r>
        <w:rPr>
          <w:rStyle w:val="VerbatimChar"/>
        </w:rPr>
        <w:t xml:space="preserve">../tables/region_selection_matrix.csv</w:t>
      </w:r>
      <w:r>
        <w:rPr>
          <w:rFonts w:hint="eastAsia"/>
        </w:rPr>
        <w:t xml:space="preserve">）。三类候选：A</w:t>
      </w:r>
      <w:r>
        <w:t xml:space="preserve"> </w:t>
      </w:r>
      <w:r>
        <w:rPr>
          <w:rFonts w:hint="eastAsia"/>
        </w:rPr>
        <w:t xml:space="preserve">类新能源富集且水电占比低的枢纽省（甘肃、宁夏、内蒙古、河北），B</w:t>
      </w:r>
      <w:r>
        <w:t xml:space="preserve"> </w:t>
      </w:r>
      <w:r>
        <w:rPr>
          <w:rFonts w:hint="eastAsia"/>
        </w:rPr>
        <w:t xml:space="preserve">类负荷中心枢纽省（江苏、广东、浙江），C</w:t>
      </w:r>
      <w:r>
        <w:t xml:space="preserve"> </w:t>
      </w:r>
      <w:r>
        <w:rPr>
          <w:rFonts w:hint="eastAsia"/>
        </w:rPr>
        <w:t xml:space="preserve">类水电混合枢纽省（贵州、四川）。内蒙古存在蒙西蒙东两网需拆分；甘肃的大型水电在归档中缺失，须补官方数据；宁夏年度负荷锚定偏差最大。当前建议首轮采用甘肃或宁夏、江苏、贵州，最终以校准数据可得性决定。</w:t>
      </w:r>
    </w:p>
    <w:bookmarkEnd w:id="36"/>
    <w:bookmarkStart w:id="37" w:name="单省-s0s0bs1s2-管线的未校准粗跑"/>
    <w:p>
      <w:pPr>
        <w:pStyle w:val="Heading3"/>
      </w:pPr>
      <w:r>
        <w:t xml:space="preserve">5.6 </w:t>
      </w:r>
      <w:r>
        <w:rPr>
          <w:rFonts w:hint="eastAsia"/>
        </w:rPr>
        <w:t xml:space="preserve">单省</w:t>
      </w:r>
      <w:r>
        <w:t xml:space="preserve"> S0/S0b/S1/S2 </w:t>
      </w:r>
      <w:r>
        <w:rPr>
          <w:rFonts w:hint="eastAsia"/>
        </w:rPr>
        <w:t xml:space="preserve">管线的未校准粗跑</w:t>
      </w:r>
    </w:p>
    <w:p>
      <w:pPr>
        <w:pStyle w:val="FirstParagraph"/>
      </w:pPr>
      <w:r>
        <w:rPr>
          <w:rFonts w:hint="eastAsia"/>
        </w:rPr>
        <w:t xml:space="preserve">已把逐批任务模型、承诺成本模型与联合规划模型接成单省管线：S0</w:t>
      </w:r>
      <w:r>
        <w:t xml:space="preserve"> </w:t>
      </w:r>
      <w:r>
        <w:rPr>
          <w:rFonts w:hint="eastAsia"/>
        </w:rPr>
        <w:t xml:space="preserve">为全速最早期限调度的固定轨迹；S0b</w:t>
      </w:r>
      <w:r>
        <w:t xml:space="preserve"> </w:t>
      </w:r>
      <w:r>
        <w:rPr>
          <w:rFonts w:hint="eastAsia"/>
        </w:rPr>
        <w:t xml:space="preserve">为时间上刚性但采用能完成每小时工作量的最低能耗实测档位的固定轨迹，用于把”降频节能”与”时间转移”分开；S1</w:t>
      </w:r>
      <w:r>
        <w:t xml:space="preserve"> </w:t>
      </w:r>
      <w:r>
        <w:rPr>
          <w:rFonts w:hint="eastAsia"/>
        </w:rPr>
        <w:t xml:space="preserve">为企业在给定分时电价下的最低电费调度，得到的轨迹固定后进入系统模型；S2</w:t>
      </w:r>
      <w:r>
        <w:t xml:space="preserve"> </w:t>
      </w:r>
      <w:r>
        <w:rPr>
          <w:rFonts w:hint="eastAsia"/>
        </w:rPr>
        <w:t xml:space="preserve">为任务变量自由的系统协调解。四个</w:t>
      </w:r>
      <w:r>
        <w:t xml:space="preserve"> 2020 </w:t>
      </w:r>
      <w:r>
        <w:rPr>
          <w:rFonts w:hint="eastAsia"/>
        </w:rPr>
        <w:t xml:space="preserve">年代表周（1、4、7、10</w:t>
      </w:r>
      <w:r>
        <w:t xml:space="preserve"> </w:t>
      </w:r>
      <w:r>
        <w:rPr>
          <w:rFonts w:hint="eastAsia"/>
        </w:rPr>
        <w:t xml:space="preserve">月各一周）作为等概率场景共享投资；省间交换用一个外部市场节点近似。输入为年度锚定但逐时形状未验证的负荷、未核实的归档装机、分析者设定的算力规模（峰荷的</w:t>
      </w:r>
      <w:r>
        <w:t xml:space="preserve"> 5% </w:t>
      </w:r>
      <w:r>
        <w:rPr>
          <w:rFonts w:hint="eastAsia"/>
        </w:rPr>
        <w:t xml:space="preserve">或</w:t>
      </w:r>
      <w:r>
        <w:t xml:space="preserve"> </w:t>
      </w:r>
      <w:r>
        <w:rPr>
          <w:rFonts w:hint="eastAsia"/>
        </w:rPr>
        <w:t xml:space="preserve">20%）、空闲功率、均匀到达与期限、电价形状。没有机组启停；煤电最小出力仅作为可选的统一比例约束。</w:t>
      </w:r>
    </w:p>
    <w:p>
      <w:pPr>
        <w:pStyle w:val="BodyText"/>
      </w:pPr>
      <w:r>
        <w:rPr>
          <w:rFonts w:hint="eastAsia"/>
        </w:rPr>
        <w:t xml:space="preserve">粗跑结果只用于验证管线并观察数量级（</w:t>
      </w:r>
      <w:r>
        <w:rPr>
          <w:rStyle w:val="VerbatimChar"/>
        </w:rPr>
        <w:t xml:space="preserve">../tables/regional_smoke_grid_summary.csv</w:t>
      </w:r>
      <w:r>
        <w:rPr>
          <w:rFonts w:hint="eastAsia"/>
        </w:rPr>
        <w:t xml:space="preserve">，图</w:t>
      </w:r>
      <w:r>
        <w:t xml:space="preserve"> </w:t>
      </w:r>
      <w:r>
        <w:rPr>
          <w:rStyle w:val="VerbatimChar"/>
        </w:rPr>
        <w:t xml:space="preserve">../figures/regional_smoke_grid_W24.png</w:t>
      </w:r>
      <w:r>
        <w:rPr>
          <w:rFonts w:hint="eastAsia"/>
        </w:rPr>
        <w:t xml:space="preserve">）：</w:t>
      </w:r>
    </w:p>
    <w:p>
      <w:pPr>
        <w:pStyle w:val="Compact"/>
        <w:numPr>
          <w:ilvl w:val="0"/>
          <w:numId w:val="1001"/>
        </w:numPr>
      </w:pPr>
      <w:r>
        <w:rPr>
          <w:rFonts w:hint="eastAsia"/>
        </w:rPr>
        <w:t xml:space="preserve">甘肃：在归档的</w:t>
      </w:r>
      <w:r>
        <w:t xml:space="preserve"> 2020 </w:t>
      </w:r>
      <w:r>
        <w:rPr>
          <w:rFonts w:hint="eastAsia"/>
        </w:rPr>
        <w:t xml:space="preserve">年系统中煤电装机远高于峰荷，且没有零边际成本小时，四种情景的单位</w:t>
      </w:r>
      <w:r>
        <w:t xml:space="preserve"> AI </w:t>
      </w:r>
      <w:r>
        <w:rPr>
          <w:rFonts w:hint="eastAsia"/>
        </w:rPr>
        <w:t xml:space="preserve">电量增量成本完全相同（均为煤电边际成本），灵活性没有任何价值。</w:t>
      </w:r>
    </w:p>
    <w:p>
      <w:pPr>
        <w:pStyle w:val="Compact"/>
        <w:numPr>
          <w:ilvl w:val="0"/>
          <w:numId w:val="1001"/>
        </w:numPr>
      </w:pPr>
      <w:r>
        <w:rPr>
          <w:rFonts w:hint="eastAsia"/>
        </w:rPr>
        <w:t xml:space="preserve">贵州（不允许外送、AI</w:t>
      </w:r>
      <w:r>
        <w:t xml:space="preserve"> </w:t>
      </w:r>
      <w:r>
        <w:rPr>
          <w:rFonts w:hint="eastAsia"/>
        </w:rPr>
        <w:t xml:space="preserve">占峰荷</w:t>
      </w:r>
      <w:r>
        <w:t xml:space="preserve"> </w:t>
      </w:r>
      <w:r>
        <w:rPr>
          <w:rFonts w:hint="eastAsia"/>
        </w:rPr>
        <w:t xml:space="preserve">20%、期限</w:t>
      </w:r>
      <w:r>
        <w:t xml:space="preserve"> 24 </w:t>
      </w:r>
      <w:r>
        <w:rPr>
          <w:rFonts w:hint="eastAsia"/>
        </w:rPr>
        <w:t xml:space="preserve">小时）：单位</w:t>
      </w:r>
      <w:r>
        <w:t xml:space="preserve"> AI </w:t>
      </w:r>
      <w:r>
        <w:rPr>
          <w:rFonts w:hint="eastAsia"/>
        </w:rPr>
        <w:t xml:space="preserve">电量的增量系统成本</w:t>
      </w:r>
      <w:r>
        <w:t xml:space="preserve"> S0 </w:t>
      </w:r>
      <w:r>
        <w:rPr>
          <w:rFonts w:hint="eastAsia"/>
        </w:rPr>
        <w:t xml:space="preserve">为</w:t>
      </w:r>
      <w:r>
        <w:t xml:space="preserve"> 22.03、S0b </w:t>
      </w:r>
      <w:r>
        <w:rPr>
          <w:rFonts w:hint="eastAsia"/>
        </w:rPr>
        <w:t xml:space="preserve">为</w:t>
      </w:r>
      <w:r>
        <w:t xml:space="preserve"> 21.57、S1 </w:t>
      </w:r>
      <w:r>
        <w:rPr>
          <w:rFonts w:hint="eastAsia"/>
        </w:rPr>
        <w:t xml:space="preserve">为</w:t>
      </w:r>
      <w:r>
        <w:t xml:space="preserve"> 21.37、S2 </w:t>
      </w:r>
      <w:r>
        <w:rPr>
          <w:rFonts w:hint="eastAsia"/>
        </w:rPr>
        <w:t xml:space="preserve">为</w:t>
      </w:r>
      <w:r>
        <w:t xml:space="preserve"> 20.29 </w:t>
      </w:r>
      <w:r>
        <w:rPr>
          <w:rFonts w:hint="eastAsia"/>
        </w:rPr>
        <w:t xml:space="preserve">欧元每兆瓦时（归档成本口径）；刚性到协调的差距约</w:t>
      </w:r>
      <w:r>
        <w:t xml:space="preserve"> </w:t>
      </w:r>
      <w:r>
        <w:rPr>
          <w:rFonts w:hint="eastAsia"/>
        </w:rPr>
        <w:t xml:space="preserve">8.6%，其中降频节能贡献了相当部分。期限从</w:t>
      </w:r>
      <w:r>
        <w:t xml:space="preserve"> 6 </w:t>
      </w:r>
      <w:r>
        <w:rPr>
          <w:rFonts w:hint="eastAsia"/>
        </w:rPr>
        <w:t xml:space="preserve">小时放宽到</w:t>
      </w:r>
      <w:r>
        <w:t xml:space="preserve"> 72 </w:t>
      </w:r>
      <w:r>
        <w:rPr>
          <w:rFonts w:hint="eastAsia"/>
        </w:rPr>
        <w:t xml:space="preserve">小时对结果几乎没有影响，说明该设定下价值主要来自日内转移。</w:t>
      </w:r>
    </w:p>
    <w:p>
      <w:pPr>
        <w:pStyle w:val="Compact"/>
        <w:numPr>
          <w:ilvl w:val="0"/>
          <w:numId w:val="1001"/>
        </w:numPr>
      </w:pPr>
      <w:r>
        <w:rPr>
          <w:rFonts w:hint="eastAsia"/>
        </w:rPr>
        <w:t xml:space="preserve">江苏（不允许外送、AI</w:t>
      </w:r>
      <w:r>
        <w:t xml:space="preserve"> </w:t>
      </w:r>
      <w:r>
        <w:rPr>
          <w:rFonts w:hint="eastAsia"/>
        </w:rPr>
        <w:t xml:space="preserve">占峰荷</w:t>
      </w:r>
      <w:r>
        <w:t xml:space="preserve"> </w:t>
      </w:r>
      <w:r>
        <w:rPr>
          <w:rFonts w:hint="eastAsia"/>
        </w:rPr>
        <w:t xml:space="preserve">20%）：刚性</w:t>
      </w:r>
      <w:r>
        <w:t xml:space="preserve"> S0 </w:t>
      </w:r>
      <w:r>
        <w:rPr>
          <w:rFonts w:hint="eastAsia"/>
        </w:rPr>
        <w:t xml:space="preserve">触发</w:t>
      </w:r>
      <w:r>
        <w:t xml:space="preserve"> 1241 MW </w:t>
      </w:r>
      <w:r>
        <w:rPr>
          <w:rFonts w:hint="eastAsia"/>
        </w:rPr>
        <w:t xml:space="preserve">燃气调峰新增投资，S0b、S1、S2</w:t>
      </w:r>
      <w:r>
        <w:t xml:space="preserve"> </w:t>
      </w:r>
      <w:r>
        <w:rPr>
          <w:rFonts w:hint="eastAsia"/>
        </w:rPr>
        <w:t xml:space="preserve">均避免了这项投资；允许外送时投资消失。</w:t>
      </w:r>
    </w:p>
    <w:p>
      <w:pPr>
        <w:pStyle w:val="FirstParagraph"/>
      </w:pPr>
      <w:r>
        <w:rPr>
          <w:rFonts w:hint="eastAsia"/>
          <w:b/>
          <w:bCs/>
        </w:rPr>
        <w:t xml:space="preserve">煤电最小出力变体。</w:t>
      </w:r>
      <w:r>
        <w:t xml:space="preserve"> </w:t>
      </w:r>
      <w:r>
        <w:rPr>
          <w:rFonts w:hint="eastAsia"/>
        </w:rPr>
        <w:t xml:space="preserve">联合模型新增可选的机组最小出力约束（默认为</w:t>
      </w:r>
      <w:r>
        <w:t xml:space="preserve"> </w:t>
      </w:r>
      <w:r>
        <w:rPr>
          <w:rFonts w:hint="eastAsia"/>
        </w:rPr>
        <w:t xml:space="preserve">0，原有</w:t>
      </w:r>
      <w:r>
        <w:t xml:space="preserve"> 118 </w:t>
      </w:r>
      <w:r>
        <w:rPr>
          <w:rFonts w:hint="eastAsia"/>
        </w:rPr>
        <w:t xml:space="preserve">项与</w:t>
      </w:r>
      <w:r>
        <w:t xml:space="preserve"> 74 </w:t>
      </w:r>
      <w:r>
        <w:rPr>
          <w:rFonts w:hint="eastAsia"/>
        </w:rPr>
        <w:t xml:space="preserve">项检查复跑通过），并以”全部归档煤电容量的</w:t>
      </w:r>
      <w:r>
        <w:t xml:space="preserve"> 40% </w:t>
      </w:r>
      <w:r>
        <w:rPr>
          <w:rFonts w:hint="eastAsia"/>
        </w:rPr>
        <w:t xml:space="preserve">必开”重跑网格（</w:t>
      </w:r>
      <w:r>
        <w:rPr>
          <w:rStyle w:val="VerbatimChar"/>
        </w:rPr>
        <w:t xml:space="preserve">../tables/regional_smoke_grid_summary_coalmin40.csv</w:t>
      </w:r>
      <w:r>
        <w:rPr>
          <w:rFonts w:hint="eastAsia"/>
        </w:rPr>
        <w:t xml:space="preserve">，汇总见</w:t>
      </w:r>
      <w:r>
        <w:t xml:space="preserve"> </w:t>
      </w:r>
      <w:r>
        <w:rPr>
          <w:rStyle w:val="VerbatimChar"/>
        </w:rPr>
        <w:t xml:space="preserve">../tables/regional_smoke_gaps_coal_min_04.csv</w:t>
      </w:r>
      <w:r>
        <w:rPr>
          <w:rFonts w:hint="eastAsia"/>
        </w:rPr>
        <w:t xml:space="preserve">）。结果给出两个信号：其一，甘肃在不允许外送时出现</w:t>
      </w:r>
      <w:r>
        <w:t xml:space="preserve"> 5.9% </w:t>
      </w:r>
      <w:r>
        <w:rPr>
          <w:rFonts w:hint="eastAsia"/>
        </w:rPr>
        <w:t xml:space="preserve">的基线弃电，刚性到协调的单位成本差距变为</w:t>
      </w:r>
      <w:r>
        <w:t xml:space="preserve"> 3.2% </w:t>
      </w:r>
      <w:r>
        <w:rPr>
          <w:rFonts w:hint="eastAsia"/>
        </w:rPr>
        <w:t xml:space="preserve">到</w:t>
      </w:r>
      <w:r>
        <w:t xml:space="preserve"> </w:t>
      </w:r>
      <w:r>
        <w:rPr>
          <w:rFonts w:hint="eastAsia"/>
        </w:rPr>
        <w:t xml:space="preserve">7.4%，说明零边际小时一旦出现灵活性就有价值；其二，贵州在同一设定下出现负的</w:t>
      </w:r>
      <w:r>
        <w:t xml:space="preserve"> AI </w:t>
      </w:r>
      <w:r>
        <w:rPr>
          <w:rFonts w:hint="eastAsia"/>
        </w:rPr>
        <w:t xml:space="preserve">增量成本（S0</w:t>
      </w:r>
      <w:r>
        <w:t xml:space="preserve"> </w:t>
      </w:r>
      <w:r>
        <w:rPr>
          <w:rFonts w:hint="eastAsia"/>
        </w:rPr>
        <w:t xml:space="preserve">为</w:t>
      </w:r>
      <w:r>
        <w:t xml:space="preserve"> -29.7 </w:t>
      </w:r>
      <w:r>
        <w:rPr>
          <w:rFonts w:hint="eastAsia"/>
        </w:rPr>
        <w:t xml:space="preserve">欧元每兆瓦时）并伴随</w:t>
      </w:r>
      <w:r>
        <w:t xml:space="preserve"> 95% </w:t>
      </w:r>
      <w:r>
        <w:rPr>
          <w:rFonts w:hint="eastAsia"/>
        </w:rPr>
        <w:t xml:space="preserve">的基线弃电和基线情形下新建储能，这是把统一必开比例施加到未核实的整个煤电容量所造成的假象，不是灵活性收益。它证明后续必须使用机组级投运、检修与启停数据，而不是容量比例。</w:t>
      </w:r>
    </w:p>
    <w:p>
      <w:pPr>
        <w:pStyle w:val="BodyText"/>
      </w:pPr>
      <w:r>
        <w:rPr>
          <w:rFonts w:hint="eastAsia"/>
          <w:b/>
          <w:bCs/>
        </w:rPr>
        <w:t xml:space="preserve">轨迹到达与官方电价变体。</w:t>
      </w:r>
      <w:r>
        <w:t xml:space="preserve"> </w:t>
      </w:r>
      <w:r>
        <w:rPr>
          <w:rFonts w:hint="eastAsia"/>
        </w:rPr>
        <w:t xml:space="preserve">把均匀到达替换为从</w:t>
      </w:r>
      <w:r>
        <w:t xml:space="preserve"> Helios </w:t>
      </w:r>
      <w:r>
        <w:rPr>
          <w:rFonts w:hint="eastAsia"/>
        </w:rPr>
        <w:t xml:space="preserve">已完成</w:t>
      </w:r>
      <w:r>
        <w:t xml:space="preserve"> GPU </w:t>
      </w:r>
      <w:r>
        <w:rPr>
          <w:rFonts w:hint="eastAsia"/>
        </w:rPr>
        <w:t xml:space="preserve">作业按提交小时、GPU</w:t>
      </w:r>
      <w:r>
        <w:t xml:space="preserve"> </w:t>
      </w:r>
      <w:r>
        <w:rPr>
          <w:rFonts w:hint="eastAsia"/>
        </w:rPr>
        <w:t xml:space="preserve">数与运行时长抽样生成的批次（期限</w:t>
      </w:r>
      <w:r>
        <w:t xml:space="preserve"> = </w:t>
      </w:r>
      <w:r>
        <w:rPr>
          <w:rFonts w:hint="eastAsia"/>
        </w:rPr>
        <w:t xml:space="preserve">发布</w:t>
      </w:r>
      <w:r>
        <w:t xml:space="preserve"> + </w:t>
      </w:r>
      <w:r>
        <w:rPr>
          <w:rFonts w:hint="eastAsia"/>
        </w:rPr>
        <w:t xml:space="preserve">运行时长上取整</w:t>
      </w:r>
      <w:r>
        <w:t xml:space="preserve"> + </w:t>
      </w:r>
      <w:r>
        <w:rPr>
          <w:rFonts w:hint="eastAsia"/>
        </w:rPr>
        <w:t xml:space="preserve">松弛</w:t>
      </w:r>
      <w:r>
        <w:t xml:space="preserve"> </w:t>
      </w:r>
      <w:r>
        <w:rPr>
          <w:rFonts w:hint="eastAsia"/>
        </w:rPr>
        <w:t xml:space="preserve">W，松弛是假设；跨时段末尾的工作按稳态截断），并把分时电价形状替换为三省官方文件（江苏</w:t>
      </w:r>
      <w:r>
        <w:t xml:space="preserve"> </w:t>
      </w:r>
      <w:r>
        <w:rPr>
          <w:rFonts w:hint="eastAsia"/>
        </w:rPr>
        <w:t xml:space="preserve">苏发改价格发〔2020〕1183号、甘肃</w:t>
      </w:r>
      <w:r>
        <w:t xml:space="preserve"> 2020 </w:t>
      </w:r>
      <w:r>
        <w:rPr>
          <w:rFonts w:hint="eastAsia"/>
        </w:rPr>
        <w:t xml:space="preserve">年</w:t>
      </w:r>
      <w:r>
        <w:t xml:space="preserve"> 12 </w:t>
      </w:r>
      <w:r>
        <w:rPr>
          <w:rFonts w:hint="eastAsia"/>
        </w:rPr>
        <w:t xml:space="preserve">月通知、贵州</w:t>
      </w:r>
      <w:r>
        <w:t xml:space="preserve"> </w:t>
      </w:r>
      <w:r>
        <w:rPr>
          <w:rFonts w:hint="eastAsia"/>
        </w:rPr>
        <w:t xml:space="preserve">黔发改价格〔2023〕481号，来源与年份差异登记为</w:t>
      </w:r>
      <w:r>
        <w:t xml:space="preserve"> </w:t>
      </w:r>
      <w:r>
        <w:rPr>
          <w:rFonts w:hint="eastAsia"/>
        </w:rPr>
        <w:t xml:space="preserve">D15–D17；价格水平仍为占位）。批次可行性保护把最多</w:t>
      </w:r>
      <w:r>
        <w:t xml:space="preserve"> 17 </w:t>
      </w:r>
      <w:r>
        <w:rPr>
          <w:rFonts w:hint="eastAsia"/>
        </w:rPr>
        <w:t xml:space="preserve">个批次的期限向后延长，时段末尾截断的工作量占比最大</w:t>
      </w:r>
      <w:r>
        <w:t xml:space="preserve"> </w:t>
      </w:r>
      <w:r>
        <w:rPr>
          <w:rFonts w:hint="eastAsia"/>
        </w:rPr>
        <w:t xml:space="preserve">33.7%。在</w:t>
      </w:r>
      <w:r>
        <w:t xml:space="preserve"> W=24 </w:t>
      </w:r>
      <w:r>
        <w:rPr>
          <w:rFonts w:hint="eastAsia"/>
        </w:rPr>
        <w:t xml:space="preserve">小时下，贵州不允许外送、AI</w:t>
      </w:r>
      <w:r>
        <w:t xml:space="preserve"> </w:t>
      </w:r>
      <w:r>
        <w:rPr>
          <w:rFonts w:hint="eastAsia"/>
        </w:rPr>
        <w:t xml:space="preserve">占峰荷</w:t>
      </w:r>
      <w:r>
        <w:t xml:space="preserve"> 20% </w:t>
      </w:r>
      <w:r>
        <w:rPr>
          <w:rFonts w:hint="eastAsia"/>
        </w:rPr>
        <w:t xml:space="preserve">的刚性到协调差距从均匀到达的</w:t>
      </w:r>
      <w:r>
        <w:t xml:space="preserve"> 8.6% </w:t>
      </w:r>
      <w:r>
        <w:rPr>
          <w:rFonts w:hint="eastAsia"/>
        </w:rPr>
        <w:t xml:space="preserve">变为</w:t>
      </w:r>
      <w:r>
        <w:t xml:space="preserve"> </w:t>
      </w:r>
      <w:r>
        <w:rPr>
          <w:rFonts w:hint="eastAsia"/>
        </w:rPr>
        <w:t xml:space="preserve">6.3%，企业自主与协调的差距从</w:t>
      </w:r>
      <w:r>
        <w:t xml:space="preserve"> 5.3% </w:t>
      </w:r>
      <w:r>
        <w:rPr>
          <w:rFonts w:hint="eastAsia"/>
        </w:rPr>
        <w:t xml:space="preserve">变为</w:t>
      </w:r>
      <w:r>
        <w:t xml:space="preserve"> </w:t>
      </w:r>
      <w:r>
        <w:rPr>
          <w:rFonts w:hint="eastAsia"/>
        </w:rPr>
        <w:t xml:space="preserve">7.2%；江苏同一设定下刚性情景的燃气调峰投资为</w:t>
      </w:r>
      <w:r>
        <w:t xml:space="preserve"> 5963 </w:t>
      </w:r>
      <w:r>
        <w:rPr>
          <w:rFonts w:hint="eastAsia"/>
        </w:rPr>
        <w:t xml:space="preserve">MW（均匀到达为</w:t>
      </w:r>
      <w:r>
        <w:t xml:space="preserve"> 1241 </w:t>
      </w:r>
      <w:r>
        <w:rPr>
          <w:rFonts w:hint="eastAsia"/>
        </w:rPr>
        <w:t xml:space="preserve">MW）。真实作业结构使工作量在时间上更集中，也改变了刚性基准本身，因此差距的大小和方向都依赖到达结构，这支持把到达与期限作为按业务类别校准的输入而不是常数。表：</w:t>
      </w:r>
      <w:r>
        <w:rPr>
          <w:rStyle w:val="VerbatimChar"/>
        </w:rPr>
        <w:t xml:space="preserve">../tables/regional_smoke_gaps_helios_arrivals_official_tou.csv</w:t>
      </w:r>
      <w:r>
        <w:rPr>
          <w:rFonts w:hint="eastAsia"/>
        </w:rPr>
        <w:t xml:space="preserve">。值得记录的一个方向性现象：在贵州不允许外送、AI</w:t>
      </w:r>
      <w:r>
        <w:t xml:space="preserve"> </w:t>
      </w:r>
      <w:r>
        <w:rPr>
          <w:rFonts w:hint="eastAsia"/>
        </w:rPr>
        <w:t xml:space="preserve">占峰荷</w:t>
      </w:r>
      <w:r>
        <w:t xml:space="preserve"> 5% </w:t>
      </w:r>
      <w:r>
        <w:rPr>
          <w:rFonts w:hint="eastAsia"/>
        </w:rPr>
        <w:t xml:space="preserve">的设定下，企业按官方分时电价自主优化的</w:t>
      </w:r>
      <w:r>
        <w:t xml:space="preserve"> S1 </w:t>
      </w:r>
      <w:r>
        <w:rPr>
          <w:rFonts w:hint="eastAsia"/>
        </w:rPr>
        <w:t xml:space="preserve">增量成本高于刚性</w:t>
      </w:r>
      <w:r>
        <w:t xml:space="preserve"> </w:t>
      </w:r>
      <w:r>
        <w:rPr>
          <w:rFonts w:hint="eastAsia"/>
        </w:rPr>
        <w:t xml:space="preserve">S0（分别为</w:t>
      </w:r>
      <w:r>
        <w:t xml:space="preserve"> 21.66 </w:t>
      </w:r>
      <w:r>
        <w:rPr>
          <w:rFonts w:hint="eastAsia"/>
        </w:rPr>
        <w:t xml:space="preserve">与</w:t>
      </w:r>
      <w:r>
        <w:t xml:space="preserve"> 20.62 </w:t>
      </w:r>
      <w:r>
        <w:rPr>
          <w:rFonts w:hint="eastAsia"/>
        </w:rPr>
        <w:t xml:space="preserve">欧元每兆瓦时），因为该电价的低谷时段（0</w:t>
      </w:r>
      <w:r>
        <w:t xml:space="preserve"> </w:t>
      </w:r>
      <w:r>
        <w:rPr>
          <w:rFonts w:hint="eastAsia"/>
        </w:rPr>
        <w:t xml:space="preserve">到</w:t>
      </w:r>
      <w:r>
        <w:t xml:space="preserve"> 8 </w:t>
      </w:r>
      <w:r>
        <w:rPr>
          <w:rFonts w:hint="eastAsia"/>
        </w:rPr>
        <w:t xml:space="preserve">时）与该系统零边际小时（水电与光伏富余时段）并不重合，企业被电价引导到系统并不便宜的小时。这正是「技术灵活性不等于系统价值、电价设计决定兑现方向」的机制在管线中的体现；它的实证意义仍需校准后检验。</w:t>
      </w:r>
    </w:p>
    <w:p>
      <w:pPr>
        <w:pStyle w:val="BodyText"/>
      </w:pPr>
      <w:r>
        <w:rPr>
          <w:rFonts w:hint="eastAsia"/>
        </w:rPr>
        <w:t xml:space="preserve">这些结果表明管线可以同时输出投资、运行、排放与弃电指标并区分四种情景，但其数值不能用于任何实证陈述。价值是否出现取决于系统是否存在零边际小时与容量紧缺，这与文献</w:t>
      </w:r>
      <w:r>
        <w:t xml:space="preserve"> [3][9] </w:t>
      </w:r>
      <w:r>
        <w:rPr>
          <w:rFonts w:hint="eastAsia"/>
        </w:rPr>
        <w:t xml:space="preserve">的方向一致，需在校准的</w:t>
      </w:r>
      <w:r>
        <w:t xml:space="preserve"> 2030 </w:t>
      </w:r>
      <w:r>
        <w:rPr>
          <w:rFonts w:hint="eastAsia"/>
        </w:rPr>
        <w:t xml:space="preserve">情景中重新检验。</w:t>
      </w:r>
    </w:p>
    <w:bookmarkEnd w:id="37"/>
    <w:bookmarkStart w:id="38" w:name="三省-2030-情景公开数据下的-s0-到-s3-结果"/>
    <w:p>
      <w:pPr>
        <w:pStyle w:val="Heading3"/>
      </w:pPr>
      <w:r>
        <w:t xml:space="preserve">5.7 </w:t>
      </w:r>
      <w:r>
        <w:rPr>
          <w:rFonts w:hint="eastAsia"/>
        </w:rPr>
        <w:t xml:space="preserve">三省</w:t>
      </w:r>
      <w:r>
        <w:t xml:space="preserve"> 2030 </w:t>
      </w:r>
      <w:r>
        <w:rPr>
          <w:rFonts w:hint="eastAsia"/>
        </w:rPr>
        <w:t xml:space="preserve">情景：公开数据下的</w:t>
      </w:r>
      <w:r>
        <w:t xml:space="preserve"> S0 </w:t>
      </w:r>
      <w:r>
        <w:rPr>
          <w:rFonts w:hint="eastAsia"/>
        </w:rPr>
        <w:t xml:space="preserve">到</w:t>
      </w:r>
      <w:r>
        <w:t xml:space="preserve"> S3 </w:t>
      </w:r>
      <w:r>
        <w:rPr>
          <w:rFonts w:hint="eastAsia"/>
        </w:rPr>
        <w:t xml:space="preserve">结果</w:t>
      </w:r>
    </w:p>
    <w:p>
      <w:pPr>
        <w:pStyle w:val="FirstParagraph"/>
      </w:pPr>
      <w:r>
        <w:rPr>
          <w:rFonts w:hint="eastAsia"/>
          <w:b/>
          <w:bCs/>
        </w:rPr>
        <w:t xml:space="preserve">输入与口径。</w:t>
      </w:r>
      <w:r>
        <w:t xml:space="preserve"> </w:t>
      </w:r>
      <w:r>
        <w:rPr>
          <w:rFonts w:hint="eastAsia"/>
        </w:rPr>
        <w:t xml:space="preserve">采用</w:t>
      </w:r>
      <w:r>
        <w:t xml:space="preserve"> GEM 2025 </w:t>
      </w:r>
      <w:r>
        <w:rPr>
          <w:rFonts w:hint="eastAsia"/>
        </w:rPr>
        <w:t xml:space="preserve">年</w:t>
      </w:r>
      <w:r>
        <w:t xml:space="preserve"> 7 </w:t>
      </w:r>
      <w:r>
        <w:rPr>
          <w:rFonts w:hint="eastAsia"/>
        </w:rPr>
        <w:t xml:space="preserve">月机组库构建三省</w:t>
      </w:r>
      <w:r>
        <w:t xml:space="preserve"> 2030 </w:t>
      </w:r>
      <w:r>
        <w:rPr>
          <w:rFonts w:hint="eastAsia"/>
        </w:rPr>
        <w:t xml:space="preserve">年火电、核电、水电机组清单（运行中加在建、按投运与退役年份筛选；</w:t>
      </w:r>
      <w:r>
        <w:rPr>
          <w:rStyle w:val="VerbatimChar"/>
        </w:rPr>
        <w:t xml:space="preserve">../tables/gem_fleet_three_provinces_2020_2030.csv</w:t>
      </w:r>
      <w:r>
        <w:rPr>
          <w:rFonts w:hint="eastAsia"/>
        </w:rPr>
        <w:t xml:space="preserve">），GEM</w:t>
      </w:r>
      <w:r>
        <w:t xml:space="preserve"> </w:t>
      </w:r>
      <w:r>
        <w:rPr>
          <w:rFonts w:hint="eastAsia"/>
        </w:rPr>
        <w:t xml:space="preserve">有规模门槛因而相对官方统计偏低，与归档容量的对照见</w:t>
      </w:r>
      <w:r>
        <w:t xml:space="preserve"> </w:t>
      </w:r>
      <w:r>
        <w:rPr>
          <w:rStyle w:val="VerbatimChar"/>
        </w:rPr>
        <w:t xml:space="preserve">../tables/gem_vs_archive_capacity_three_provinces.csv</w:t>
      </w:r>
      <w:r>
        <w:rPr>
          <w:rFonts w:hint="eastAsia"/>
        </w:rPr>
        <w:t xml:space="preserve">。甘肃</w:t>
      </w:r>
      <w:r>
        <w:t xml:space="preserve"> 2030 </w:t>
      </w:r>
      <w:r>
        <w:rPr>
          <w:rFonts w:hint="eastAsia"/>
        </w:rPr>
        <w:t xml:space="preserve">年煤电</w:t>
      </w:r>
      <w:r>
        <w:t xml:space="preserve"> 33650 </w:t>
      </w:r>
      <w:r>
        <w:rPr>
          <w:rFonts w:hint="eastAsia"/>
        </w:rPr>
        <w:t xml:space="preserve">MW、水电</w:t>
      </w:r>
      <w:r>
        <w:t xml:space="preserve"> 8094 </w:t>
      </w:r>
      <w:r>
        <w:rPr>
          <w:rFonts w:hint="eastAsia"/>
        </w:rPr>
        <w:t xml:space="preserve">MW（补上了归档缺失的水电）；江苏煤电</w:t>
      </w:r>
      <w:r>
        <w:t xml:space="preserve"> 92481 </w:t>
      </w:r>
      <w:r>
        <w:rPr>
          <w:rFonts w:hint="eastAsia"/>
        </w:rPr>
        <w:t xml:space="preserve">MW、气电</w:t>
      </w:r>
      <w:r>
        <w:t xml:space="preserve"> 24779 </w:t>
      </w:r>
      <w:r>
        <w:rPr>
          <w:rFonts w:hint="eastAsia"/>
        </w:rPr>
        <w:t xml:space="preserve">MW、核电</w:t>
      </w:r>
      <w:r>
        <w:t xml:space="preserve"> 9138 </w:t>
      </w:r>
      <w:r>
        <w:rPr>
          <w:rFonts w:hint="eastAsia"/>
        </w:rPr>
        <w:t xml:space="preserve">MW；贵州煤电</w:t>
      </w:r>
      <w:r>
        <w:t xml:space="preserve"> 41890 </w:t>
      </w:r>
      <w:r>
        <w:rPr>
          <w:rFonts w:hint="eastAsia"/>
        </w:rPr>
        <w:t xml:space="preserve">MW、水电</w:t>
      </w:r>
      <w:r>
        <w:t xml:space="preserve"> 18235 MW。2030 </w:t>
      </w:r>
      <w:r>
        <w:rPr>
          <w:rFonts w:hint="eastAsia"/>
        </w:rPr>
        <w:t xml:space="preserve">年负荷用归档的省级</w:t>
      </w:r>
      <w:r>
        <w:t xml:space="preserve"> 2030 </w:t>
      </w:r>
      <w:r>
        <w:rPr>
          <w:rFonts w:hint="eastAsia"/>
        </w:rPr>
        <w:t xml:space="preserve">与</w:t>
      </w:r>
      <w:r>
        <w:t xml:space="preserve"> 2020 </w:t>
      </w:r>
      <w:r>
        <w:rPr>
          <w:rFonts w:hint="eastAsia"/>
        </w:rPr>
        <w:t xml:space="preserve">年负荷比放大年度锚定的</w:t>
      </w:r>
      <w:r>
        <w:t xml:space="preserve"> 2020 </w:t>
      </w:r>
      <w:r>
        <w:rPr>
          <w:rFonts w:hint="eastAsia"/>
        </w:rPr>
        <w:t xml:space="preserve">逐时形状（形状不变是假设）；风光既有装机取</w:t>
      </w:r>
      <w:r>
        <w:t xml:space="preserve"> 2020 </w:t>
      </w:r>
      <w:r>
        <w:rPr>
          <w:rFonts w:hint="eastAsia"/>
        </w:rPr>
        <w:t xml:space="preserve">归档值，风电、光伏、储能、燃气调峰按归档</w:t>
      </w:r>
      <w:r>
        <w:t xml:space="preserve"> 2030 </w:t>
      </w:r>
      <w:r>
        <w:rPr>
          <w:rFonts w:hint="eastAsia"/>
        </w:rPr>
        <w:t xml:space="preserve">成本可投资，不允许新建煤电；煤电必开按”承诺容量”启发式（覆盖周内最大剩余负荷除以</w:t>
      </w:r>
      <w:r>
        <w:t xml:space="preserve"> 0.85 </w:t>
      </w:r>
      <w:r>
        <w:rPr>
          <w:rFonts w:hint="eastAsia"/>
        </w:rPr>
        <w:t xml:space="preserve">的机组容量的</w:t>
      </w:r>
      <w:r>
        <w:t xml:space="preserve"> </w:t>
      </w:r>
      <w:r>
        <w:rPr>
          <w:rFonts w:hint="eastAsia"/>
        </w:rPr>
        <w:t xml:space="preserve">40%）。AI</w:t>
      </w:r>
      <w:r>
        <w:t xml:space="preserve"> </w:t>
      </w:r>
      <w:r>
        <w:rPr>
          <w:rFonts w:hint="eastAsia"/>
        </w:rPr>
        <w:t xml:space="preserve">池规模为</w:t>
      </w:r>
      <w:r>
        <w:t xml:space="preserve"> 2030 </w:t>
      </w:r>
      <w:r>
        <w:rPr>
          <w:rFonts w:hint="eastAsia"/>
        </w:rPr>
        <w:t xml:space="preserve">峰荷的</w:t>
      </w:r>
      <w:r>
        <w:t xml:space="preserve"> </w:t>
      </w:r>
      <w:r>
        <w:rPr>
          <w:rFonts w:hint="eastAsia"/>
        </w:rPr>
        <w:t xml:space="preserve">5%、10%、20%，批次由</w:t>
      </w:r>
      <w:r>
        <w:t xml:space="preserve"> Helios </w:t>
      </w:r>
      <w:r>
        <w:rPr>
          <w:rFonts w:hint="eastAsia"/>
        </w:rPr>
        <w:t xml:space="preserve">已完成作业抽样，期限松弛取作业自身观测等待乘以</w:t>
      </w:r>
      <w:r>
        <w:t xml:space="preserve"> 1 </w:t>
      </w:r>
      <w:r>
        <w:rPr>
          <w:rFonts w:hint="eastAsia"/>
        </w:rPr>
        <w:t xml:space="preserve">或</w:t>
      </w:r>
      <w:r>
        <w:t xml:space="preserve"> 3 </w:t>
      </w:r>
      <w:r>
        <w:rPr>
          <w:rFonts w:hint="eastAsia"/>
        </w:rPr>
        <w:t xml:space="preserve">再加</w:t>
      </w:r>
      <w:r>
        <w:t xml:space="preserve"> 6 </w:t>
      </w:r>
      <w:r>
        <w:rPr>
          <w:rFonts w:hint="eastAsia"/>
        </w:rPr>
        <w:t xml:space="preserve">或</w:t>
      </w:r>
      <w:r>
        <w:t xml:space="preserve"> 24 </w:t>
      </w:r>
      <w:r>
        <w:rPr>
          <w:rFonts w:hint="eastAsia"/>
        </w:rPr>
        <w:t xml:space="preserve">小时。S3</w:t>
      </w:r>
      <w:r>
        <w:t xml:space="preserve"> </w:t>
      </w:r>
      <w:r>
        <w:rPr>
          <w:rFonts w:hint="eastAsia"/>
        </w:rPr>
        <w:t xml:space="preserve">事件时段取</w:t>
      </w:r>
      <w:r>
        <w:t xml:space="preserve"> S1 </w:t>
      </w:r>
      <w:r>
        <w:rPr>
          <w:rFonts w:hint="eastAsia"/>
        </w:rPr>
        <w:t xml:space="preserve">运行中边际成本高于周中位数</w:t>
      </w:r>
      <w:r>
        <w:t xml:space="preserve"> 20% </w:t>
      </w:r>
      <w:r>
        <w:rPr>
          <w:rFonts w:hint="eastAsia"/>
        </w:rPr>
        <w:t xml:space="preserve">以上的前</w:t>
      </w:r>
      <w:r>
        <w:t xml:space="preserve"> 5% </w:t>
      </w:r>
      <w:r>
        <w:rPr>
          <w:rFonts w:hint="eastAsia"/>
        </w:rPr>
        <w:t xml:space="preserve">小时；企业相对自身</w:t>
      </w:r>
      <w:r>
        <w:t xml:space="preserve"> S1 </w:t>
      </w:r>
      <w:r>
        <w:rPr>
          <w:rFonts w:hint="eastAsia"/>
        </w:rPr>
        <w:t xml:space="preserve">调度承诺最大可交付削减，并至少获得机会成本补偿。全部结果为公开数据情景，逐时负荷形状未经独立验证，省间交换为外部市场代理。</w:t>
      </w:r>
    </w:p>
    <w:p>
      <w:pPr>
        <w:pStyle w:val="BodyText"/>
      </w:pPr>
      <w:r>
        <w:rPr>
          <w:rFonts w:hint="eastAsia"/>
          <w:b/>
          <w:bCs/>
        </w:rPr>
        <w:t xml:space="preserve">结果一：外部市场代理吸收了几乎全部价值。</w:t>
      </w:r>
      <w:r>
        <w:t xml:space="preserve"> </w:t>
      </w:r>
      <w:r>
        <w:rPr>
          <w:rFonts w:hint="eastAsia"/>
        </w:rPr>
        <w:t xml:space="preserve">允许外送时，三省所有设定下刚性到协调的差距都低于</w:t>
      </w:r>
      <w:r>
        <w:t xml:space="preserve"> </w:t>
      </w:r>
      <w:r>
        <w:rPr>
          <w:rFonts w:hint="eastAsia"/>
        </w:rPr>
        <w:t xml:space="preserve">1%（</w:t>
      </w:r>
      <w:r>
        <w:rPr>
          <w:rStyle w:val="VerbatimChar"/>
        </w:rPr>
        <w:t xml:space="preserve">../tables/regional_2030_gaps.csv</w:t>
      </w:r>
      <w:r>
        <w:rPr>
          <w:rFonts w:hint="eastAsia"/>
        </w:rPr>
        <w:t xml:space="preserve">）。这不是”灵活性无价值”的证据，而是”以固定价格无限吸纳外送”的代理消除了本地稀缺。多省耦合模型必须替代这一代理才能给出可信的省际结论。</w:t>
      </w:r>
    </w:p>
    <w:p>
      <w:pPr>
        <w:pStyle w:val="BodyText"/>
      </w:pPr>
      <w:r>
        <w:rPr>
          <w:rFonts w:hint="eastAsia"/>
          <w:b/>
          <w:bCs/>
        </w:rPr>
        <w:t xml:space="preserve">结果二：外送受限时，价值随系统结构与</w:t>
      </w:r>
      <w:r>
        <w:rPr>
          <w:b/>
          <w:bCs/>
        </w:rPr>
        <w:t xml:space="preserve"> AI </w:t>
      </w:r>
      <w:r>
        <w:rPr>
          <w:rFonts w:hint="eastAsia"/>
          <w:b/>
          <w:bCs/>
        </w:rPr>
        <w:t xml:space="preserve">规模变化。</w:t>
      </w:r>
      <w:r>
        <w:t xml:space="preserve"> </w:t>
      </w:r>
      <w:r>
        <w:rPr>
          <w:rFonts w:hint="eastAsia"/>
        </w:rPr>
        <w:t xml:space="preserve">下表列出不允许外送的情景（单位</w:t>
      </w:r>
      <w:r>
        <w:t xml:space="preserve"> AI </w:t>
      </w:r>
      <w:r>
        <w:rPr>
          <w:rFonts w:hint="eastAsia"/>
        </w:rPr>
        <w:t xml:space="preserve">电量的增量系统成本，欧元每兆瓦时，归档成本口径）：</w:t>
      </w:r>
    </w:p>
    <w:tbl>
      <w:tblPr>
        <w:tblStyle w:val="Table"/>
        <w:tblW w:type="pct" w:w="5000"/>
        <w:tblLayout w:type="fixed"/>
        <w:tblLook w:firstRow="1" w:lastRow="0" w:firstColumn="0" w:lastColumn="0" w:noHBand="0" w:noVBand="0" w:val="0020"/>
      </w:tblPr>
      <w:tblGrid>
        <w:gridCol w:w="426"/>
        <w:gridCol w:w="474"/>
        <w:gridCol w:w="379"/>
        <w:gridCol w:w="331"/>
        <w:gridCol w:w="331"/>
        <w:gridCol w:w="331"/>
        <w:gridCol w:w="331"/>
        <w:gridCol w:w="521"/>
        <w:gridCol w:w="521"/>
        <w:gridCol w:w="521"/>
        <w:gridCol w:w="663"/>
        <w:gridCol w:w="663"/>
        <w:gridCol w:w="663"/>
        <w:gridCol w:w="901"/>
        <w:gridCol w:w="853"/>
      </w:tblGrid>
      <w:tr>
        <w:trPr>
          <w:tblHeader w:val="on"/>
        </w:trPr>
        <w:tc>
          <w:tcPr/>
          <w:p>
            <w:pPr>
              <w:pStyle w:val="Compact"/>
              <w:jc w:val="left"/>
            </w:pPr>
            <w:r>
              <w:rPr>
                <w:rFonts w:hint="eastAsia"/>
              </w:rPr>
              <w:t xml:space="preserve">省份</w:t>
            </w:r>
          </w:p>
        </w:tc>
        <w:tc>
          <w:tcPr/>
          <w:p>
            <w:pPr>
              <w:pStyle w:val="Compact"/>
              <w:jc w:val="right"/>
            </w:pPr>
            <w:r>
              <w:t xml:space="preserve">AI </w:t>
            </w:r>
            <w:r>
              <w:rPr>
                <w:rFonts w:hint="eastAsia"/>
              </w:rPr>
              <w:t xml:space="preserve">占峰荷</w:t>
            </w:r>
          </w:p>
        </w:tc>
        <w:tc>
          <w:tcPr/>
          <w:p>
            <w:pPr>
              <w:pStyle w:val="Compact"/>
              <w:jc w:val="right"/>
            </w:pPr>
            <w:r>
              <w:rPr>
                <w:rFonts w:hint="eastAsia"/>
              </w:rPr>
              <w:t xml:space="preserve">松弛倍数</w:t>
            </w:r>
          </w:p>
        </w:tc>
        <w:tc>
          <w:tcPr/>
          <w:p>
            <w:pPr>
              <w:pStyle w:val="Compact"/>
              <w:jc w:val="right"/>
            </w:pPr>
            <w:r>
              <w:t xml:space="preserve">S0</w:t>
            </w:r>
          </w:p>
        </w:tc>
        <w:tc>
          <w:tcPr/>
          <w:p>
            <w:pPr>
              <w:pStyle w:val="Compact"/>
              <w:jc w:val="right"/>
            </w:pPr>
            <w:r>
              <w:t xml:space="preserve">S1</w:t>
            </w:r>
          </w:p>
        </w:tc>
        <w:tc>
          <w:tcPr/>
          <w:p>
            <w:pPr>
              <w:pStyle w:val="Compact"/>
              <w:jc w:val="right"/>
            </w:pPr>
            <w:r>
              <w:t xml:space="preserve">S2</w:t>
            </w:r>
          </w:p>
        </w:tc>
        <w:tc>
          <w:tcPr/>
          <w:p>
            <w:pPr>
              <w:pStyle w:val="Compact"/>
              <w:jc w:val="right"/>
            </w:pPr>
            <w:r>
              <w:t xml:space="preserve">S3</w:t>
            </w:r>
          </w:p>
        </w:tc>
        <w:tc>
          <w:tcPr/>
          <w:p>
            <w:pPr>
              <w:pStyle w:val="Compact"/>
              <w:jc w:val="right"/>
            </w:pPr>
            <w:r>
              <w:t xml:space="preserve">S0−S2 %</w:t>
            </w:r>
          </w:p>
        </w:tc>
        <w:tc>
          <w:tcPr/>
          <w:p>
            <w:pPr>
              <w:pStyle w:val="Compact"/>
              <w:jc w:val="right"/>
            </w:pPr>
            <w:r>
              <w:t xml:space="preserve">S1−S2 %</w:t>
            </w:r>
          </w:p>
        </w:tc>
        <w:tc>
          <w:tcPr/>
          <w:p>
            <w:pPr>
              <w:pStyle w:val="Compact"/>
              <w:jc w:val="right"/>
            </w:pPr>
            <w:r>
              <w:t xml:space="preserve">S3−S2 %</w:t>
            </w:r>
          </w:p>
        </w:tc>
        <w:tc>
          <w:tcPr/>
          <w:p>
            <w:pPr>
              <w:pStyle w:val="Compact"/>
              <w:jc w:val="right"/>
            </w:pPr>
            <w:r>
              <w:t xml:space="preserve">S0 </w:t>
            </w:r>
            <w:r>
              <w:rPr>
                <w:rFonts w:hint="eastAsia"/>
              </w:rPr>
              <w:t xml:space="preserve">新增燃气</w:t>
            </w:r>
            <w:r>
              <w:t xml:space="preserve"> MW</w:t>
            </w:r>
          </w:p>
        </w:tc>
        <w:tc>
          <w:tcPr/>
          <w:p>
            <w:pPr>
              <w:pStyle w:val="Compact"/>
              <w:jc w:val="right"/>
            </w:pPr>
            <w:r>
              <w:t xml:space="preserve">S2 </w:t>
            </w:r>
            <w:r>
              <w:rPr>
                <w:rFonts w:hint="eastAsia"/>
              </w:rPr>
              <w:t xml:space="preserve">新增燃气</w:t>
            </w:r>
            <w:r>
              <w:t xml:space="preserve"> MW</w:t>
            </w:r>
          </w:p>
        </w:tc>
        <w:tc>
          <w:tcPr/>
          <w:p>
            <w:pPr>
              <w:pStyle w:val="Compact"/>
              <w:jc w:val="right"/>
            </w:pPr>
            <w:r>
              <w:t xml:space="preserve">S0 </w:t>
            </w:r>
            <w:r>
              <w:rPr>
                <w:rFonts w:hint="eastAsia"/>
              </w:rPr>
              <w:t xml:space="preserve">新增储能</w:t>
            </w:r>
            <w:r>
              <w:t xml:space="preserve"> MW</w:t>
            </w:r>
          </w:p>
        </w:tc>
        <w:tc>
          <w:tcPr/>
          <w:p>
            <w:pPr>
              <w:pStyle w:val="Compact"/>
              <w:jc w:val="right"/>
            </w:pPr>
            <w:r>
              <w:t xml:space="preserve">S3 </w:t>
            </w:r>
            <w:r>
              <w:rPr>
                <w:rFonts w:hint="eastAsia"/>
              </w:rPr>
              <w:t xml:space="preserve">相对</w:t>
            </w:r>
            <w:r>
              <w:t xml:space="preserve"> S1 </w:t>
            </w:r>
            <w:r>
              <w:rPr>
                <w:rFonts w:hint="eastAsia"/>
              </w:rPr>
              <w:t xml:space="preserve">系统节省</w:t>
            </w:r>
          </w:p>
        </w:tc>
        <w:tc>
          <w:tcPr/>
          <w:p>
            <w:pPr>
              <w:pStyle w:val="Compact"/>
              <w:jc w:val="right"/>
            </w:pPr>
            <w:r>
              <w:t xml:space="preserve">S3 </w:t>
            </w:r>
            <w:r>
              <w:rPr>
                <w:rFonts w:hint="eastAsia"/>
              </w:rPr>
              <w:t xml:space="preserve">补偿下限</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27.46</w:t>
            </w:r>
          </w:p>
        </w:tc>
        <w:tc>
          <w:tcPr/>
          <w:p>
            <w:pPr>
              <w:pStyle w:val="Compact"/>
              <w:jc w:val="right"/>
            </w:pPr>
            <w:r>
              <w:t xml:space="preserve">27.28</w:t>
            </w:r>
          </w:p>
        </w:tc>
        <w:tc>
          <w:tcPr/>
          <w:p>
            <w:pPr>
              <w:pStyle w:val="Compact"/>
              <w:jc w:val="right"/>
            </w:pPr>
            <w:r>
              <w:t xml:space="preserve">27.13</w:t>
            </w:r>
          </w:p>
        </w:tc>
        <w:tc>
          <w:tcPr/>
          <w:p>
            <w:pPr>
              <w:pStyle w:val="Compact"/>
              <w:jc w:val="right"/>
            </w:pPr>
            <w:r>
              <w:t xml:space="preserve">27.28</w:t>
            </w:r>
          </w:p>
        </w:tc>
        <w:tc>
          <w:tcPr/>
          <w:p>
            <w:pPr>
              <w:pStyle w:val="Compact"/>
              <w:jc w:val="right"/>
            </w:pPr>
            <w:r>
              <w:t xml:space="preserve">1.21</w:t>
            </w:r>
          </w:p>
        </w:tc>
        <w:tc>
          <w:tcPr/>
          <w:p>
            <w:pPr>
              <w:pStyle w:val="Compact"/>
              <w:jc w:val="right"/>
            </w:pPr>
            <w:r>
              <w:t xml:space="preserve">0.53</w:t>
            </w:r>
          </w:p>
        </w:tc>
        <w:tc>
          <w:tcPr/>
          <w:p>
            <w:pPr>
              <w:pStyle w:val="Compact"/>
              <w:jc w:val="right"/>
            </w:pPr>
            <w:r>
              <w:t xml:space="preserve">0.53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27.46</w:t>
            </w:r>
          </w:p>
        </w:tc>
        <w:tc>
          <w:tcPr/>
          <w:p>
            <w:pPr>
              <w:pStyle w:val="Compact"/>
              <w:jc w:val="right"/>
            </w:pPr>
            <w:r>
              <w:t xml:space="preserve">27.25</w:t>
            </w:r>
          </w:p>
        </w:tc>
        <w:tc>
          <w:tcPr/>
          <w:p>
            <w:pPr>
              <w:pStyle w:val="Compact"/>
              <w:jc w:val="right"/>
            </w:pPr>
            <w:r>
              <w:t xml:space="preserve">26.95</w:t>
            </w:r>
          </w:p>
        </w:tc>
        <w:tc>
          <w:tcPr/>
          <w:p>
            <w:pPr>
              <w:pStyle w:val="Compact"/>
              <w:jc w:val="right"/>
            </w:pPr>
            <w:r>
              <w:t xml:space="preserve">27.25</w:t>
            </w:r>
          </w:p>
        </w:tc>
        <w:tc>
          <w:tcPr/>
          <w:p>
            <w:pPr>
              <w:pStyle w:val="Compact"/>
              <w:jc w:val="right"/>
            </w:pPr>
            <w:r>
              <w:t xml:space="preserve">1.88</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27.31</w:t>
            </w:r>
          </w:p>
        </w:tc>
        <w:tc>
          <w:tcPr/>
          <w:p>
            <w:pPr>
              <w:pStyle w:val="Compact"/>
              <w:jc w:val="right"/>
            </w:pPr>
            <w:r>
              <w:t xml:space="preserve">27.08</w:t>
            </w:r>
          </w:p>
        </w:tc>
        <w:tc>
          <w:tcPr/>
          <w:p>
            <w:pPr>
              <w:pStyle w:val="Compact"/>
              <w:jc w:val="right"/>
            </w:pPr>
            <w:r>
              <w:t xml:space="preserve">26.99</w:t>
            </w:r>
          </w:p>
        </w:tc>
        <w:tc>
          <w:tcPr/>
          <w:p>
            <w:pPr>
              <w:pStyle w:val="Compact"/>
              <w:jc w:val="right"/>
            </w:pPr>
            <w:r>
              <w:t xml:space="preserve">27.08</w:t>
            </w:r>
          </w:p>
        </w:tc>
        <w:tc>
          <w:tcPr/>
          <w:p>
            <w:pPr>
              <w:pStyle w:val="Compact"/>
              <w:jc w:val="right"/>
            </w:pPr>
            <w:r>
              <w:t xml:space="preserve">1.18</w:t>
            </w:r>
          </w:p>
        </w:tc>
        <w:tc>
          <w:tcPr/>
          <w:p>
            <w:pPr>
              <w:pStyle w:val="Compact"/>
              <w:jc w:val="right"/>
            </w:pPr>
            <w:r>
              <w:t xml:space="preserve">0.33</w:t>
            </w:r>
          </w:p>
        </w:tc>
        <w:tc>
          <w:tcPr/>
          <w:p>
            <w:pPr>
              <w:pStyle w:val="Compact"/>
              <w:jc w:val="right"/>
            </w:pPr>
            <w:r>
              <w:t xml:space="preserve">0.33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27.31</w:t>
            </w:r>
          </w:p>
        </w:tc>
        <w:tc>
          <w:tcPr/>
          <w:p>
            <w:pPr>
              <w:pStyle w:val="Compact"/>
              <w:jc w:val="right"/>
            </w:pPr>
            <w:r>
              <w:t xml:space="preserve">27.01</w:t>
            </w:r>
          </w:p>
        </w:tc>
        <w:tc>
          <w:tcPr/>
          <w:p>
            <w:pPr>
              <w:pStyle w:val="Compact"/>
              <w:jc w:val="right"/>
            </w:pPr>
            <w:r>
              <w:t xml:space="preserve">26.84</w:t>
            </w:r>
          </w:p>
        </w:tc>
        <w:tc>
          <w:tcPr/>
          <w:p>
            <w:pPr>
              <w:pStyle w:val="Compact"/>
              <w:jc w:val="right"/>
            </w:pPr>
            <w:r>
              <w:t xml:space="preserve">27.01</w:t>
            </w:r>
          </w:p>
        </w:tc>
        <w:tc>
          <w:tcPr/>
          <w:p>
            <w:pPr>
              <w:pStyle w:val="Compact"/>
              <w:jc w:val="right"/>
            </w:pPr>
            <w:r>
              <w:t xml:space="preserve">1.77</w:t>
            </w:r>
          </w:p>
        </w:tc>
        <w:tc>
          <w:tcPr/>
          <w:p>
            <w:pPr>
              <w:pStyle w:val="Compact"/>
              <w:jc w:val="right"/>
            </w:pPr>
            <w:r>
              <w:t xml:space="preserve">0.63</w:t>
            </w:r>
          </w:p>
        </w:tc>
        <w:tc>
          <w:tcPr/>
          <w:p>
            <w:pPr>
              <w:pStyle w:val="Compact"/>
              <w:jc w:val="right"/>
            </w:pPr>
            <w:r>
              <w:t xml:space="preserve">0.63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26.8</w:t>
            </w:r>
          </w:p>
        </w:tc>
        <w:tc>
          <w:tcPr/>
          <w:p>
            <w:pPr>
              <w:pStyle w:val="Compact"/>
              <w:jc w:val="right"/>
            </w:pPr>
            <w:r>
              <w:t xml:space="preserve">26.47</w:t>
            </w:r>
          </w:p>
        </w:tc>
        <w:tc>
          <w:tcPr/>
          <w:p>
            <w:pPr>
              <w:pStyle w:val="Compact"/>
              <w:jc w:val="right"/>
            </w:pPr>
            <w:r>
              <w:t xml:space="preserve">26.41</w:t>
            </w:r>
          </w:p>
        </w:tc>
        <w:tc>
          <w:tcPr/>
          <w:p>
            <w:pPr>
              <w:pStyle w:val="Compact"/>
              <w:jc w:val="right"/>
            </w:pPr>
            <w:r>
              <w:t xml:space="preserve">26.47</w:t>
            </w:r>
          </w:p>
        </w:tc>
        <w:tc>
          <w:tcPr/>
          <w:p>
            <w:pPr>
              <w:pStyle w:val="Compact"/>
              <w:jc w:val="right"/>
            </w:pPr>
            <w:r>
              <w:t xml:space="preserve">1.46</w:t>
            </w:r>
          </w:p>
        </w:tc>
        <w:tc>
          <w:tcPr/>
          <w:p>
            <w:pPr>
              <w:pStyle w:val="Compact"/>
              <w:jc w:val="right"/>
            </w:pPr>
            <w:r>
              <w:t xml:space="preserve">0.22</w:t>
            </w:r>
          </w:p>
        </w:tc>
        <w:tc>
          <w:tcPr/>
          <w:p>
            <w:pPr>
              <w:pStyle w:val="Compact"/>
              <w:jc w:val="right"/>
            </w:pPr>
            <w:r>
              <w:t xml:space="preserve">0.22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26.8</w:t>
            </w:r>
          </w:p>
        </w:tc>
        <w:tc>
          <w:tcPr/>
          <w:p>
            <w:pPr>
              <w:pStyle w:val="Compact"/>
              <w:jc w:val="right"/>
            </w:pPr>
            <w:r>
              <w:t xml:space="preserve">26.32</w:t>
            </w:r>
          </w:p>
        </w:tc>
        <w:tc>
          <w:tcPr/>
          <w:p>
            <w:pPr>
              <w:pStyle w:val="Compact"/>
              <w:jc w:val="right"/>
            </w:pPr>
            <w:r>
              <w:t xml:space="preserve">26.26</w:t>
            </w:r>
          </w:p>
        </w:tc>
        <w:tc>
          <w:tcPr/>
          <w:p>
            <w:pPr>
              <w:pStyle w:val="Compact"/>
              <w:jc w:val="right"/>
            </w:pPr>
            <w:r>
              <w:t xml:space="preserve">26.32</w:t>
            </w:r>
          </w:p>
        </w:tc>
        <w:tc>
          <w:tcPr/>
          <w:p>
            <w:pPr>
              <w:pStyle w:val="Compact"/>
              <w:jc w:val="right"/>
            </w:pPr>
            <w:r>
              <w:t xml:space="preserve">2.02</w:t>
            </w:r>
          </w:p>
        </w:tc>
        <w:tc>
          <w:tcPr/>
          <w:p>
            <w:pPr>
              <w:pStyle w:val="Compact"/>
              <w:jc w:val="right"/>
            </w:pPr>
            <w:r>
              <w:t xml:space="preserve">0.22</w:t>
            </w:r>
          </w:p>
        </w:tc>
        <w:tc>
          <w:tcPr/>
          <w:p>
            <w:pPr>
              <w:pStyle w:val="Compact"/>
              <w:jc w:val="right"/>
            </w:pPr>
            <w:r>
              <w:t xml:space="preserve">0.22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21.64</w:t>
            </w:r>
          </w:p>
        </w:tc>
        <w:tc>
          <w:tcPr/>
          <w:p>
            <w:pPr>
              <w:pStyle w:val="Compact"/>
              <w:jc w:val="right"/>
            </w:pPr>
            <w:r>
              <w:t xml:space="preserve">21.19</w:t>
            </w:r>
          </w:p>
        </w:tc>
        <w:tc>
          <w:tcPr/>
          <w:p>
            <w:pPr>
              <w:pStyle w:val="Compact"/>
              <w:jc w:val="right"/>
            </w:pPr>
            <w:r>
              <w:t xml:space="preserve">20.11</w:t>
            </w:r>
          </w:p>
        </w:tc>
        <w:tc>
          <w:tcPr/>
          <w:p>
            <w:pPr>
              <w:pStyle w:val="Compact"/>
              <w:jc w:val="right"/>
            </w:pPr>
            <w:r>
              <w:t xml:space="preserve">21.17</w:t>
            </w:r>
          </w:p>
        </w:tc>
        <w:tc>
          <w:tcPr/>
          <w:p>
            <w:pPr>
              <w:pStyle w:val="Compact"/>
              <w:jc w:val="right"/>
            </w:pPr>
            <w:r>
              <w:t xml:space="preserve">7.62</w:t>
            </w:r>
          </w:p>
        </w:tc>
        <w:tc>
          <w:tcPr/>
          <w:p>
            <w:pPr>
              <w:pStyle w:val="Compact"/>
              <w:jc w:val="right"/>
            </w:pPr>
            <w:r>
              <w:t xml:space="preserve">5.36</w:t>
            </w:r>
          </w:p>
        </w:tc>
        <w:tc>
          <w:tcPr/>
          <w:p>
            <w:pPr>
              <w:pStyle w:val="Compact"/>
              <w:jc w:val="right"/>
            </w:pPr>
            <w:r>
              <w:t xml:space="preserve">5.29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-15399.3</w:t>
            </w:r>
          </w:p>
        </w:tc>
        <w:tc>
          <w:tcPr/>
          <w:p>
            <w:pPr>
              <w:pStyle w:val="Compact"/>
              <w:jc w:val="right"/>
            </w:pPr>
            <w:r>
              <w:t xml:space="preserve">59022.8</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21.64</w:t>
            </w:r>
          </w:p>
        </w:tc>
        <w:tc>
          <w:tcPr/>
          <w:p>
            <w:pPr>
              <w:pStyle w:val="Compact"/>
              <w:jc w:val="right"/>
            </w:pPr>
            <w:r>
              <w:t xml:space="preserve">21.52</w:t>
            </w:r>
          </w:p>
        </w:tc>
        <w:tc>
          <w:tcPr/>
          <w:p>
            <w:pPr>
              <w:pStyle w:val="Compact"/>
              <w:jc w:val="right"/>
            </w:pPr>
            <w:r>
              <w:t xml:space="preserve">19.65</w:t>
            </w:r>
          </w:p>
        </w:tc>
        <w:tc>
          <w:tcPr/>
          <w:p>
            <w:pPr>
              <w:pStyle w:val="Compact"/>
              <w:jc w:val="right"/>
            </w:pPr>
            <w:r>
              <w:t xml:space="preserve">21.46</w:t>
            </w:r>
          </w:p>
        </w:tc>
        <w:tc>
          <w:tcPr/>
          <w:p>
            <w:pPr>
              <w:pStyle w:val="Compact"/>
              <w:jc w:val="right"/>
            </w:pPr>
            <w:r>
              <w:t xml:space="preserve">10.13</w:t>
            </w:r>
          </w:p>
        </w:tc>
        <w:tc>
          <w:tcPr/>
          <w:p>
            <w:pPr>
              <w:pStyle w:val="Compact"/>
              <w:jc w:val="right"/>
            </w:pPr>
            <w:r>
              <w:t xml:space="preserve">9.54</w:t>
            </w:r>
          </w:p>
        </w:tc>
        <w:tc>
          <w:tcPr/>
          <w:p>
            <w:pPr>
              <w:pStyle w:val="Compact"/>
              <w:jc w:val="right"/>
            </w:pPr>
            <w:r>
              <w:t xml:space="preserve">9.2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10155.9</w:t>
            </w:r>
          </w:p>
        </w:tc>
        <w:tc>
          <w:tcPr/>
          <w:p>
            <w:pPr>
              <w:pStyle w:val="Compact"/>
              <w:jc w:val="right"/>
            </w:pPr>
            <w:r>
              <w:t xml:space="preserve">7059.67</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21.5</w:t>
            </w:r>
          </w:p>
        </w:tc>
        <w:tc>
          <w:tcPr/>
          <w:p>
            <w:pPr>
              <w:pStyle w:val="Compact"/>
              <w:jc w:val="right"/>
            </w:pPr>
            <w:r>
              <w:t xml:space="preserve">20.84</w:t>
            </w:r>
          </w:p>
        </w:tc>
        <w:tc>
          <w:tcPr/>
          <w:p>
            <w:pPr>
              <w:pStyle w:val="Compact"/>
              <w:jc w:val="right"/>
            </w:pPr>
            <w:r>
              <w:t xml:space="preserve">19.94</w:t>
            </w:r>
          </w:p>
        </w:tc>
        <w:tc>
          <w:tcPr/>
          <w:p>
            <w:pPr>
              <w:pStyle w:val="Compact"/>
              <w:jc w:val="right"/>
            </w:pPr>
            <w:r>
              <w:t xml:space="preserve">20.82</w:t>
            </w:r>
          </w:p>
        </w:tc>
        <w:tc>
          <w:tcPr/>
          <w:p>
            <w:pPr>
              <w:pStyle w:val="Compact"/>
              <w:jc w:val="right"/>
            </w:pPr>
            <w:r>
              <w:t xml:space="preserve">7.86</w:t>
            </w:r>
          </w:p>
        </w:tc>
        <w:tc>
          <w:tcPr/>
          <w:p>
            <w:pPr>
              <w:pStyle w:val="Compact"/>
              <w:jc w:val="right"/>
            </w:pPr>
            <w:r>
              <w:t xml:space="preserve">4.54</w:t>
            </w:r>
          </w:p>
        </w:tc>
        <w:tc>
          <w:tcPr/>
          <w:p>
            <w:pPr>
              <w:pStyle w:val="Compact"/>
              <w:jc w:val="right"/>
            </w:pPr>
            <w:r>
              <w:t xml:space="preserve">4.42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1326.84</w:t>
            </w:r>
          </w:p>
        </w:tc>
        <w:tc>
          <w:tcPr/>
          <w:p>
            <w:pPr>
              <w:pStyle w:val="Compact"/>
              <w:jc w:val="right"/>
            </w:pPr>
            <w:r>
              <w:t xml:space="preserve">12638.4</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21.5</w:t>
            </w:r>
          </w:p>
        </w:tc>
        <w:tc>
          <w:tcPr/>
          <w:p>
            <w:pPr>
              <w:pStyle w:val="Compact"/>
              <w:jc w:val="right"/>
            </w:pPr>
            <w:r>
              <w:t xml:space="preserve">21.09</w:t>
            </w:r>
          </w:p>
        </w:tc>
        <w:tc>
          <w:tcPr/>
          <w:p>
            <w:pPr>
              <w:pStyle w:val="Compact"/>
              <w:jc w:val="right"/>
            </w:pPr>
            <w:r>
              <w:t xml:space="preserve">19.43</w:t>
            </w:r>
          </w:p>
        </w:tc>
        <w:tc>
          <w:tcPr/>
          <w:p>
            <w:pPr>
              <w:pStyle w:val="Compact"/>
              <w:jc w:val="right"/>
            </w:pPr>
            <w:r>
              <w:t xml:space="preserve">20.62</w:t>
            </w:r>
          </w:p>
        </w:tc>
        <w:tc>
          <w:tcPr/>
          <w:p>
            <w:pPr>
              <w:pStyle w:val="Compact"/>
              <w:jc w:val="right"/>
            </w:pPr>
            <w:r>
              <w:t xml:space="preserve">10.67</w:t>
            </w:r>
          </w:p>
        </w:tc>
        <w:tc>
          <w:tcPr/>
          <w:p>
            <w:pPr>
              <w:pStyle w:val="Compact"/>
              <w:jc w:val="right"/>
            </w:pPr>
            <w:r>
              <w:t xml:space="preserve">8.56</w:t>
            </w:r>
          </w:p>
        </w:tc>
        <w:tc>
          <w:tcPr/>
          <w:p>
            <w:pPr>
              <w:pStyle w:val="Compact"/>
              <w:jc w:val="right"/>
            </w:pPr>
            <w:r>
              <w:t xml:space="preserve">6.1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-5386.08</w:t>
            </w:r>
          </w:p>
        </w:tc>
        <w:tc>
          <w:tcPr/>
          <w:p>
            <w:pPr>
              <w:pStyle w:val="Compact"/>
              <w:jc w:val="right"/>
            </w:pPr>
            <w:r>
              <w:t xml:space="preserve">189496</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21.11</w:t>
            </w:r>
          </w:p>
        </w:tc>
        <w:tc>
          <w:tcPr/>
          <w:p>
            <w:pPr>
              <w:pStyle w:val="Compact"/>
              <w:jc w:val="right"/>
            </w:pPr>
            <w:r>
              <w:t xml:space="preserve">20.1</w:t>
            </w:r>
          </w:p>
        </w:tc>
        <w:tc>
          <w:tcPr/>
          <w:p>
            <w:pPr>
              <w:pStyle w:val="Compact"/>
              <w:jc w:val="right"/>
            </w:pPr>
            <w:r>
              <w:t xml:space="preserve">19.48</w:t>
            </w:r>
          </w:p>
        </w:tc>
        <w:tc>
          <w:tcPr/>
          <w:p>
            <w:pPr>
              <w:pStyle w:val="Compact"/>
              <w:jc w:val="right"/>
            </w:pPr>
            <w:r>
              <w:t xml:space="preserve">20.1</w:t>
            </w:r>
          </w:p>
        </w:tc>
        <w:tc>
          <w:tcPr/>
          <w:p>
            <w:pPr>
              <w:pStyle w:val="Compact"/>
              <w:jc w:val="right"/>
            </w:pPr>
            <w:r>
              <w:t xml:space="preserve">8.39</w:t>
            </w:r>
          </w:p>
        </w:tc>
        <w:tc>
          <w:tcPr/>
          <w:p>
            <w:pPr>
              <w:pStyle w:val="Compact"/>
              <w:jc w:val="right"/>
            </w:pPr>
            <w:r>
              <w:t xml:space="preserve">3.22</w:t>
            </w:r>
          </w:p>
        </w:tc>
        <w:tc>
          <w:tcPr/>
          <w:p>
            <w:pPr>
              <w:pStyle w:val="Compact"/>
              <w:jc w:val="right"/>
            </w:pPr>
            <w:r>
              <w:t xml:space="preserve">3.22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21.11</w:t>
            </w:r>
          </w:p>
        </w:tc>
        <w:tc>
          <w:tcPr/>
          <w:p>
            <w:pPr>
              <w:pStyle w:val="Compact"/>
              <w:jc w:val="right"/>
            </w:pPr>
            <w:r>
              <w:t xml:space="preserve">20.13</w:t>
            </w:r>
          </w:p>
        </w:tc>
        <w:tc>
          <w:tcPr/>
          <w:p>
            <w:pPr>
              <w:pStyle w:val="Compact"/>
              <w:jc w:val="right"/>
            </w:pPr>
            <w:r>
              <w:t xml:space="preserve">18.98</w:t>
            </w:r>
          </w:p>
        </w:tc>
        <w:tc>
          <w:tcPr/>
          <w:p>
            <w:pPr>
              <w:pStyle w:val="Compact"/>
              <w:jc w:val="right"/>
            </w:pPr>
            <w:r>
              <w:t xml:space="preserve">19.84</w:t>
            </w:r>
          </w:p>
        </w:tc>
        <w:tc>
          <w:tcPr/>
          <w:p>
            <w:pPr>
              <w:pStyle w:val="Compact"/>
              <w:jc w:val="right"/>
            </w:pPr>
            <w:r>
              <w:t xml:space="preserve">11.24</w:t>
            </w:r>
          </w:p>
        </w:tc>
        <w:tc>
          <w:tcPr/>
          <w:p>
            <w:pPr>
              <w:pStyle w:val="Compact"/>
              <w:jc w:val="right"/>
            </w:pPr>
            <w:r>
              <w:t xml:space="preserve">6.07</w:t>
            </w:r>
          </w:p>
        </w:tc>
        <w:tc>
          <w:tcPr/>
          <w:p>
            <w:pPr>
              <w:pStyle w:val="Compact"/>
              <w:jc w:val="right"/>
            </w:pPr>
            <w:r>
              <w:t xml:space="preserve">4.54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-160000</w:t>
            </w:r>
          </w:p>
        </w:tc>
        <w:tc>
          <w:tcPr/>
          <w:p>
            <w:pPr>
              <w:pStyle w:val="Compact"/>
              <w:jc w:val="right"/>
            </w:pPr>
            <w:r>
              <w:t xml:space="preserve">371709</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32.38</w:t>
            </w:r>
          </w:p>
        </w:tc>
        <w:tc>
          <w:tcPr/>
          <w:p>
            <w:pPr>
              <w:pStyle w:val="Compact"/>
              <w:jc w:val="right"/>
            </w:pPr>
            <w:r>
              <w:t xml:space="preserve">31.65</w:t>
            </w:r>
          </w:p>
        </w:tc>
        <w:tc>
          <w:tcPr/>
          <w:p>
            <w:pPr>
              <w:pStyle w:val="Compact"/>
              <w:jc w:val="right"/>
            </w:pPr>
            <w:r>
              <w:t xml:space="preserve">31.61</w:t>
            </w:r>
          </w:p>
        </w:tc>
        <w:tc>
          <w:tcPr/>
          <w:p>
            <w:pPr>
              <w:pStyle w:val="Compact"/>
              <w:jc w:val="right"/>
            </w:pPr>
            <w:r>
              <w:t xml:space="preserve">31.67</w:t>
            </w:r>
          </w:p>
        </w:tc>
        <w:tc>
          <w:tcPr/>
          <w:p>
            <w:pPr>
              <w:pStyle w:val="Compact"/>
              <w:jc w:val="right"/>
            </w:pPr>
            <w:r>
              <w:t xml:space="preserve">2.46</w:t>
            </w:r>
          </w:p>
        </w:tc>
        <w:tc>
          <w:tcPr/>
          <w:p>
            <w:pPr>
              <w:pStyle w:val="Compact"/>
              <w:jc w:val="right"/>
            </w:pPr>
            <w:r>
              <w:t xml:space="preserve">0.14</w:t>
            </w:r>
          </w:p>
        </w:tc>
        <w:tc>
          <w:tcPr/>
          <w:p>
            <w:pPr>
              <w:pStyle w:val="Compact"/>
              <w:jc w:val="right"/>
            </w:pPr>
            <w:r>
              <w:t xml:space="preserve">0.18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-8385.06</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32.38</w:t>
            </w:r>
          </w:p>
        </w:tc>
        <w:tc>
          <w:tcPr/>
          <w:p>
            <w:pPr>
              <w:pStyle w:val="Compact"/>
              <w:jc w:val="right"/>
            </w:pPr>
            <w:r>
              <w:t xml:space="preserve">31.49</w:t>
            </w:r>
          </w:p>
        </w:tc>
        <w:tc>
          <w:tcPr/>
          <w:p>
            <w:pPr>
              <w:pStyle w:val="Compact"/>
              <w:jc w:val="right"/>
            </w:pPr>
            <w:r>
              <w:t xml:space="preserve">31.39</w:t>
            </w:r>
          </w:p>
        </w:tc>
        <w:tc>
          <w:tcPr/>
          <w:p>
            <w:pPr>
              <w:pStyle w:val="Compact"/>
              <w:jc w:val="right"/>
            </w:pPr>
            <w:r>
              <w:t xml:space="preserve">31.48</w:t>
            </w:r>
          </w:p>
        </w:tc>
        <w:tc>
          <w:tcPr/>
          <w:p>
            <w:pPr>
              <w:pStyle w:val="Compact"/>
              <w:jc w:val="right"/>
            </w:pPr>
            <w:r>
              <w:t xml:space="preserve">3.18</w:t>
            </w:r>
          </w:p>
        </w:tc>
        <w:tc>
          <w:tcPr/>
          <w:p>
            <w:pPr>
              <w:pStyle w:val="Compact"/>
              <w:jc w:val="right"/>
            </w:pPr>
            <w:r>
              <w:t xml:space="preserve">0.32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1370.15</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33.82</w:t>
            </w:r>
          </w:p>
        </w:tc>
        <w:tc>
          <w:tcPr/>
          <w:p>
            <w:pPr>
              <w:pStyle w:val="Compact"/>
              <w:jc w:val="right"/>
            </w:pPr>
            <w:r>
              <w:t xml:space="preserve">32.56</w:t>
            </w:r>
          </w:p>
        </w:tc>
        <w:tc>
          <w:tcPr/>
          <w:p>
            <w:pPr>
              <w:pStyle w:val="Compact"/>
              <w:jc w:val="right"/>
            </w:pPr>
            <w:r>
              <w:t xml:space="preserve">32.51</w:t>
            </w:r>
          </w:p>
        </w:tc>
        <w:tc>
          <w:tcPr/>
          <w:p>
            <w:pPr>
              <w:pStyle w:val="Compact"/>
              <w:jc w:val="right"/>
            </w:pPr>
            <w:r>
              <w:t xml:space="preserve">32.57</w:t>
            </w:r>
          </w:p>
        </w:tc>
        <w:tc>
          <w:tcPr/>
          <w:p>
            <w:pPr>
              <w:pStyle w:val="Compact"/>
              <w:jc w:val="right"/>
            </w:pPr>
            <w:r>
              <w:t xml:space="preserve">4.01</w:t>
            </w:r>
          </w:p>
        </w:tc>
        <w:tc>
          <w:tcPr/>
          <w:p>
            <w:pPr>
              <w:pStyle w:val="Compact"/>
              <w:jc w:val="right"/>
            </w:pPr>
            <w:r>
              <w:t xml:space="preserve">0.14</w:t>
            </w:r>
          </w:p>
        </w:tc>
        <w:tc>
          <w:tcPr/>
          <w:p>
            <w:pPr>
              <w:pStyle w:val="Compact"/>
              <w:jc w:val="right"/>
            </w:pPr>
            <w:r>
              <w:t xml:space="preserve">0.18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165.98</w:t>
            </w:r>
          </w:p>
        </w:tc>
        <w:tc>
          <w:tcPr/>
          <w:p>
            <w:pPr>
              <w:pStyle w:val="Compact"/>
              <w:jc w:val="right"/>
            </w:pPr>
            <w:r>
              <w:t xml:space="preserve">-12921.7</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33.82</w:t>
            </w:r>
          </w:p>
        </w:tc>
        <w:tc>
          <w:tcPr/>
          <w:p>
            <w:pPr>
              <w:pStyle w:val="Compact"/>
              <w:jc w:val="right"/>
            </w:pPr>
            <w:r>
              <w:t xml:space="preserve">32.21</w:t>
            </w:r>
          </w:p>
        </w:tc>
        <w:tc>
          <w:tcPr/>
          <w:p>
            <w:pPr>
              <w:pStyle w:val="Compact"/>
              <w:jc w:val="right"/>
            </w:pPr>
            <w:r>
              <w:t xml:space="preserve">32.07</w:t>
            </w:r>
          </w:p>
        </w:tc>
        <w:tc>
          <w:tcPr/>
          <w:p>
            <w:pPr>
              <w:pStyle w:val="Compact"/>
              <w:jc w:val="right"/>
            </w:pPr>
            <w:r>
              <w:t xml:space="preserve">32.2</w:t>
            </w:r>
          </w:p>
        </w:tc>
        <w:tc>
          <w:tcPr/>
          <w:p>
            <w:pPr>
              <w:pStyle w:val="Compact"/>
              <w:jc w:val="right"/>
            </w:pPr>
            <w:r>
              <w:t xml:space="preserve">5.45</w:t>
            </w:r>
          </w:p>
        </w:tc>
        <w:tc>
          <w:tcPr/>
          <w:p>
            <w:pPr>
              <w:pStyle w:val="Compact"/>
              <w:jc w:val="right"/>
            </w:pPr>
            <w:r>
              <w:t xml:space="preserve">0.44</w:t>
            </w:r>
          </w:p>
        </w:tc>
        <w:tc>
          <w:tcPr/>
          <w:p>
            <w:pPr>
              <w:pStyle w:val="Compact"/>
              <w:jc w:val="right"/>
            </w:pPr>
            <w:r>
              <w:t xml:space="preserve">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165.98</w:t>
            </w:r>
          </w:p>
        </w:tc>
        <w:tc>
          <w:tcPr/>
          <w:p>
            <w:pPr>
              <w:pStyle w:val="Compact"/>
              <w:jc w:val="right"/>
            </w:pPr>
            <w:r>
              <w:t xml:space="preserve">12893.8</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39.33</w:t>
            </w:r>
          </w:p>
        </w:tc>
        <w:tc>
          <w:tcPr/>
          <w:p>
            <w:pPr>
              <w:pStyle w:val="Compact"/>
              <w:jc w:val="right"/>
            </w:pPr>
            <w:r>
              <w:t xml:space="preserve">37.96</w:t>
            </w:r>
          </w:p>
        </w:tc>
        <w:tc>
          <w:tcPr/>
          <w:p>
            <w:pPr>
              <w:pStyle w:val="Compact"/>
              <w:jc w:val="right"/>
            </w:pPr>
            <w:r>
              <w:t xml:space="preserve">35.47</w:t>
            </w:r>
          </w:p>
        </w:tc>
        <w:tc>
          <w:tcPr/>
          <w:p>
            <w:pPr>
              <w:pStyle w:val="Compact"/>
              <w:jc w:val="right"/>
            </w:pPr>
            <w:r>
              <w:t xml:space="preserve">37.8</w:t>
            </w:r>
          </w:p>
        </w:tc>
        <w:tc>
          <w:tcPr/>
          <w:p>
            <w:pPr>
              <w:pStyle w:val="Compact"/>
              <w:jc w:val="right"/>
            </w:pPr>
            <w:r>
              <w:t xml:space="preserve">10.89</w:t>
            </w:r>
          </w:p>
        </w:tc>
        <w:tc>
          <w:tcPr/>
          <w:p>
            <w:pPr>
              <w:pStyle w:val="Compact"/>
              <w:jc w:val="right"/>
            </w:pPr>
            <w:r>
              <w:t xml:space="preserve">7.04</w:t>
            </w:r>
          </w:p>
        </w:tc>
        <w:tc>
          <w:tcPr/>
          <w:p>
            <w:pPr>
              <w:pStyle w:val="Compact"/>
              <w:jc w:val="right"/>
            </w:pPr>
            <w:r>
              <w:t xml:space="preserve">6.56</w:t>
            </w:r>
          </w:p>
        </w:tc>
        <w:tc>
          <w:tcPr/>
          <w:p>
            <w:pPr>
              <w:pStyle w:val="Compact"/>
              <w:jc w:val="right"/>
            </w:pPr>
            <w:r>
              <w:t xml:space="preserve">8517.51</w:t>
            </w:r>
          </w:p>
        </w:tc>
        <w:tc>
          <w:tcPr/>
          <w:p>
            <w:pPr>
              <w:pStyle w:val="Compact"/>
              <w:jc w:val="right"/>
            </w:pPr>
            <w:r>
              <w:t xml:space="preserve">1102.72</w:t>
            </w:r>
          </w:p>
        </w:tc>
        <w:tc>
          <w:tcPr/>
          <w:p>
            <w:pPr>
              <w:pStyle w:val="Compact"/>
              <w:jc w:val="right"/>
            </w:pPr>
            <w:r>
              <w:t xml:space="preserve">1950.31</w:t>
            </w:r>
          </w:p>
        </w:tc>
        <w:tc>
          <w:tcPr/>
          <w:p>
            <w:pPr>
              <w:pStyle w:val="Compact"/>
              <w:jc w:val="right"/>
            </w:pPr>
            <w:r>
              <w:t xml:space="preserve">-141346</w:t>
            </w:r>
          </w:p>
        </w:tc>
        <w:tc>
          <w:tcPr/>
          <w:p>
            <w:pPr>
              <w:pStyle w:val="Compact"/>
              <w:jc w:val="right"/>
            </w:pPr>
            <w:r>
              <w:t xml:space="preserve">1.38374e+06</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39.33</w:t>
            </w:r>
          </w:p>
        </w:tc>
        <w:tc>
          <w:tcPr/>
          <w:p>
            <w:pPr>
              <w:pStyle w:val="Compact"/>
              <w:jc w:val="right"/>
            </w:pPr>
            <w:r>
              <w:t xml:space="preserve">34.79</w:t>
            </w:r>
          </w:p>
        </w:tc>
        <w:tc>
          <w:tcPr/>
          <w:p>
            <w:pPr>
              <w:pStyle w:val="Compact"/>
              <w:jc w:val="right"/>
            </w:pPr>
            <w:r>
              <w:t xml:space="preserve">34.07</w:t>
            </w:r>
          </w:p>
        </w:tc>
        <w:tc>
          <w:tcPr/>
          <w:p>
            <w:pPr>
              <w:pStyle w:val="Compact"/>
              <w:jc w:val="right"/>
            </w:pPr>
            <w:r>
              <w:t xml:space="preserve">34.85</w:t>
            </w:r>
          </w:p>
        </w:tc>
        <w:tc>
          <w:tcPr/>
          <w:p>
            <w:pPr>
              <w:pStyle w:val="Compact"/>
              <w:jc w:val="right"/>
            </w:pPr>
            <w:r>
              <w:t xml:space="preserve">15.42</w:t>
            </w:r>
          </w:p>
        </w:tc>
        <w:tc>
          <w:tcPr/>
          <w:p>
            <w:pPr>
              <w:pStyle w:val="Compact"/>
              <w:jc w:val="right"/>
            </w:pPr>
            <w:r>
              <w:t xml:space="preserve">2.11</w:t>
            </w:r>
          </w:p>
        </w:tc>
        <w:tc>
          <w:tcPr/>
          <w:p>
            <w:pPr>
              <w:pStyle w:val="Compact"/>
              <w:jc w:val="right"/>
            </w:pPr>
            <w:r>
              <w:t xml:space="preserve">2.27</w:t>
            </w:r>
          </w:p>
        </w:tc>
        <w:tc>
          <w:tcPr/>
          <w:p>
            <w:pPr>
              <w:pStyle w:val="Compact"/>
              <w:jc w:val="right"/>
            </w:pPr>
            <w:r>
              <w:t xml:space="preserve">8517.51</w:t>
            </w:r>
          </w:p>
        </w:tc>
        <w:tc>
          <w:tcPr/>
          <w:p>
            <w:pPr>
              <w:pStyle w:val="Compact"/>
              <w:jc w:val="right"/>
            </w:pPr>
            <w:r>
              <w:t xml:space="preserve">0</w:t>
            </w:r>
          </w:p>
        </w:tc>
        <w:tc>
          <w:tcPr/>
          <w:p>
            <w:pPr>
              <w:pStyle w:val="Compact"/>
              <w:jc w:val="right"/>
            </w:pPr>
            <w:r>
              <w:t xml:space="preserve">1950.31</w:t>
            </w:r>
          </w:p>
        </w:tc>
        <w:tc>
          <w:tcPr/>
          <w:p>
            <w:pPr>
              <w:pStyle w:val="Compact"/>
              <w:jc w:val="right"/>
            </w:pPr>
            <w:r>
              <w:t xml:space="preserve">-1.02388e+06</w:t>
            </w:r>
          </w:p>
        </w:tc>
        <w:tc>
          <w:tcPr/>
          <w:p>
            <w:pPr>
              <w:pStyle w:val="Compact"/>
              <w:jc w:val="right"/>
            </w:pPr>
            <w:r>
              <w:t xml:space="preserve">425150</w:t>
            </w:r>
          </w:p>
        </w:tc>
      </w:tr>
    </w:tbl>
    <w:p>
      <w:pPr>
        <w:pStyle w:val="BodyText"/>
      </w:pPr>
      <w:r>
        <w:rPr>
          <w:rFonts w:hint="eastAsia"/>
        </w:rPr>
        <w:t xml:space="preserve">甘肃刚性到协调的差距为</w:t>
      </w:r>
      <w:r>
        <w:t xml:space="preserve"> 1% </w:t>
      </w:r>
      <w:r>
        <w:rPr>
          <w:rFonts w:hint="eastAsia"/>
        </w:rPr>
        <w:t xml:space="preserve">到</w:t>
      </w:r>
      <w:r>
        <w:t xml:space="preserve"> </w:t>
      </w:r>
      <w:r>
        <w:rPr>
          <w:rFonts w:hint="eastAsia"/>
        </w:rPr>
        <w:t xml:space="preserve">2%，贵州为</w:t>
      </w:r>
      <w:r>
        <w:t xml:space="preserve"> 8% </w:t>
      </w:r>
      <w:r>
        <w:rPr>
          <w:rFonts w:hint="eastAsia"/>
        </w:rPr>
        <w:t xml:space="preserve">到</w:t>
      </w:r>
      <w:r>
        <w:t xml:space="preserve"> </w:t>
      </w:r>
      <w:r>
        <w:rPr>
          <w:rFonts w:hint="eastAsia"/>
        </w:rPr>
        <w:t xml:space="preserve">11%，江苏随</w:t>
      </w:r>
      <w:r>
        <w:t xml:space="preserve"> AI </w:t>
      </w:r>
      <w:r>
        <w:rPr>
          <w:rFonts w:hint="eastAsia"/>
        </w:rPr>
        <w:t xml:space="preserve">规模从</w:t>
      </w:r>
      <w:r>
        <w:t xml:space="preserve"> 2% </w:t>
      </w:r>
      <w:r>
        <w:rPr>
          <w:rFonts w:hint="eastAsia"/>
        </w:rPr>
        <w:t xml:space="preserve">升到</w:t>
      </w:r>
      <w:r>
        <w:t xml:space="preserve"> </w:t>
      </w:r>
      <w:r>
        <w:rPr>
          <w:rFonts w:hint="eastAsia"/>
        </w:rPr>
        <w:t xml:space="preserve">15%。江苏在</w:t>
      </w:r>
      <w:r>
        <w:t xml:space="preserve"> AI </w:t>
      </w:r>
      <w:r>
        <w:rPr>
          <w:rFonts w:hint="eastAsia"/>
        </w:rPr>
        <w:t xml:space="preserve">占峰荷</w:t>
      </w:r>
      <w:r>
        <w:t xml:space="preserve"> 20% </w:t>
      </w:r>
      <w:r>
        <w:rPr>
          <w:rFonts w:hint="eastAsia"/>
        </w:rPr>
        <w:t xml:space="preserve">时，刚性运行需要新增</w:t>
      </w:r>
      <w:r>
        <w:t xml:space="preserve"> 8518 MW </w:t>
      </w:r>
      <w:r>
        <w:rPr>
          <w:rFonts w:hint="eastAsia"/>
        </w:rPr>
        <w:t xml:space="preserve">燃气调峰和</w:t>
      </w:r>
      <w:r>
        <w:t xml:space="preserve"> 1950 MW </w:t>
      </w:r>
      <w:r>
        <w:rPr>
          <w:rFonts w:hint="eastAsia"/>
        </w:rPr>
        <w:t xml:space="preserve">储能，系统协调只需</w:t>
      </w:r>
      <w:r>
        <w:t xml:space="preserve"> 1103 </w:t>
      </w:r>
      <w:r>
        <w:rPr>
          <w:rFonts w:hint="eastAsia"/>
        </w:rPr>
        <w:t xml:space="preserve">MW（松弛加大后为</w:t>
      </w:r>
      <w:r>
        <w:t xml:space="preserve"> 0 </w:t>
      </w:r>
      <w:r>
        <w:rPr>
          <w:rFonts w:hint="eastAsia"/>
        </w:rPr>
        <w:t xml:space="preserve">MW）燃气，这是投资通道的直接体现。放宽期限松弛（观测等待乘</w:t>
      </w:r>
      <w:r>
        <w:t xml:space="preserve"> 3 </w:t>
      </w:r>
      <w:r>
        <w:rPr>
          <w:rFonts w:hint="eastAsia"/>
        </w:rPr>
        <w:t xml:space="preserve">加</w:t>
      </w:r>
      <w:r>
        <w:t xml:space="preserve"> 24 </w:t>
      </w:r>
      <w:r>
        <w:rPr>
          <w:rFonts w:hint="eastAsia"/>
        </w:rPr>
        <w:t xml:space="preserve">小时）使协调情景的成本进一步下降，但企业自主情景的改善小得多，说明企业在电价下不会自动利用更长的期限。</w:t>
      </w:r>
    </w:p>
    <w:p>
      <w:pPr>
        <w:pStyle w:val="BodyText"/>
      </w:pPr>
      <w:r>
        <w:rPr>
          <w:rFonts w:hint="eastAsia"/>
          <w:b/>
          <w:bCs/>
        </w:rPr>
        <w:t xml:space="preserve">结果三：企业自主运行只兑现了协调价值的一部分，比例因电价与系统而异。</w:t>
      </w:r>
      <w:r>
        <w:t xml:space="preserve"> </w:t>
      </w:r>
      <w:r>
        <w:rPr>
          <w:rFonts w:hint="eastAsia"/>
        </w:rPr>
        <w:t xml:space="preserve">以</w:t>
      </w:r>
      <w:r>
        <w:t xml:space="preserve"> S0 </w:t>
      </w:r>
      <w:r>
        <w:rPr>
          <w:rFonts w:hint="eastAsia"/>
        </w:rPr>
        <w:t xml:space="preserve">到</w:t>
      </w:r>
      <w:r>
        <w:t xml:space="preserve"> S2 </w:t>
      </w:r>
      <w:r>
        <w:rPr>
          <w:rFonts w:hint="eastAsia"/>
        </w:rPr>
        <w:t xml:space="preserve">为全部协调价值，S1</w:t>
      </w:r>
      <w:r>
        <w:t xml:space="preserve"> </w:t>
      </w:r>
      <w:r>
        <w:rPr>
          <w:rFonts w:hint="eastAsia"/>
        </w:rPr>
        <w:t xml:space="preserve">兑现的份额在甘肃约为四到八成，在贵州约为一到四成，在江苏</w:t>
      </w:r>
      <w:r>
        <w:t xml:space="preserve"> AI 5% </w:t>
      </w:r>
      <w:r>
        <w:rPr>
          <w:rFonts w:hint="eastAsia"/>
        </w:rPr>
        <w:t xml:space="preserve">到</w:t>
      </w:r>
      <w:r>
        <w:t xml:space="preserve"> 10% </w:t>
      </w:r>
      <w:r>
        <w:rPr>
          <w:rFonts w:hint="eastAsia"/>
        </w:rPr>
        <w:t xml:space="preserve">时接近全部而在</w:t>
      </w:r>
      <w:r>
        <w:t xml:space="preserve"> 20% </w:t>
      </w:r>
      <w:r>
        <w:rPr>
          <w:rFonts w:hint="eastAsia"/>
        </w:rPr>
        <w:t xml:space="preserve">时只有三到八成。贵州的低兑现与官方分时电价的低谷时段和系统富余时段不重合有关（见</w:t>
      </w:r>
      <w:r>
        <w:t xml:space="preserve"> 5.6 </w:t>
      </w:r>
      <w:r>
        <w:rPr>
          <w:rFonts w:hint="eastAsia"/>
        </w:rPr>
        <w:t xml:space="preserve">节）。</w:t>
      </w:r>
    </w:p>
    <w:p>
      <w:pPr>
        <w:pStyle w:val="BodyText"/>
      </w:pPr>
      <w:r>
        <w:rPr>
          <w:rFonts w:hint="eastAsia"/>
          <w:b/>
          <w:bCs/>
        </w:rPr>
        <w:t xml:space="preserve">结果四：第一版事件型承诺机制几乎不产生系统净收益。</w:t>
      </w:r>
      <w:r>
        <w:t xml:space="preserve"> </w:t>
      </w:r>
      <w:r>
        <w:t xml:space="preserve">S3 </w:t>
      </w:r>
      <w:r>
        <w:rPr>
          <w:rFonts w:hint="eastAsia"/>
        </w:rPr>
        <w:t xml:space="preserve">相对</w:t>
      </w:r>
      <w:r>
        <w:t xml:space="preserve"> S1 </w:t>
      </w:r>
      <w:r>
        <w:rPr>
          <w:rFonts w:hint="eastAsia"/>
        </w:rPr>
        <w:t xml:space="preserve">的系统节省在多数设定下为零或为负，而补偿下限为正；S3</w:t>
      </w:r>
      <w:r>
        <w:t xml:space="preserve"> </w:t>
      </w:r>
      <w:r>
        <w:rPr>
          <w:rFonts w:hint="eastAsia"/>
        </w:rPr>
        <w:t xml:space="preserve">相对</w:t>
      </w:r>
      <w:r>
        <w:t xml:space="preserve"> S2 </w:t>
      </w:r>
      <w:r>
        <w:rPr>
          <w:rFonts w:hint="eastAsia"/>
        </w:rPr>
        <w:t xml:space="preserve">的差距与</w:t>
      </w:r>
      <w:r>
        <w:t xml:space="preserve"> S1 </w:t>
      </w:r>
      <w:r>
        <w:rPr>
          <w:rFonts w:hint="eastAsia"/>
        </w:rPr>
        <w:t xml:space="preserve">相近。原因有二：事件规则依据企业自主运行下的边际成本，而这些边际成本在多数小时近乎平坦；协调价值主要来自持续的日内转移和投资替代，而不是少数事件小时的削减。这一负结果本身有意义：以事件为单位的需求响应合同只能捕获</w:t>
      </w:r>
      <w:r>
        <w:t xml:space="preserve"> AI </w:t>
      </w:r>
      <w:r>
        <w:rPr>
          <w:rFonts w:hint="eastAsia"/>
        </w:rPr>
        <w:t xml:space="preserve">负荷协调价值的很小一部分，后续机制设计应转向连续的价格或调度信号，并以</w:t>
      </w:r>
      <w:r>
        <w:t xml:space="preserve"> S2 </w:t>
      </w:r>
      <w:r>
        <w:rPr>
          <w:rFonts w:hint="eastAsia"/>
        </w:rPr>
        <w:t xml:space="preserve">的对偶价格而非</w:t>
      </w:r>
      <w:r>
        <w:t xml:space="preserve"> S1 </w:t>
      </w:r>
      <w:r>
        <w:rPr>
          <w:rFonts w:hint="eastAsia"/>
        </w:rPr>
        <w:t xml:space="preserve">的边际成本定义稀缺。</w:t>
      </w:r>
    </w:p>
    <w:p>
      <w:pPr>
        <w:pStyle w:val="BodyText"/>
      </w:pPr>
      <w:r>
        <w:rPr>
          <w:rFonts w:hint="eastAsia"/>
        </w:rPr>
        <w:t xml:space="preserve">图：</w:t>
      </w:r>
      <w:r>
        <w:rPr>
          <w:rStyle w:val="VerbatimChar"/>
        </w:rPr>
        <w:t xml:space="preserve">../figures/regional_2030_cost_emissions.png</w:t>
      </w:r>
      <w:r>
        <w:t xml:space="preserve">。</w:t>
      </w:r>
    </w:p>
    <w:bookmarkEnd w:id="38"/>
    <w:bookmarkStart w:id="39" w:name="用邻省聚合节点替代外部市场代理以及实时价格情景"/>
    <w:p>
      <w:pPr>
        <w:pStyle w:val="Heading3"/>
      </w:pPr>
      <w:r>
        <w:t xml:space="preserve">5.8 </w:t>
      </w:r>
      <w:r>
        <w:rPr>
          <w:rFonts w:hint="eastAsia"/>
        </w:rPr>
        <w:t xml:space="preserve">用邻省聚合节点替代外部市场代理，以及实时价格情景</w:t>
      </w:r>
    </w:p>
    <w:p>
      <w:pPr>
        <w:pStyle w:val="FirstParagraph"/>
      </w:pPr>
      <w:r>
        <w:rPr>
          <w:rFonts w:hint="eastAsia"/>
          <w:b/>
          <w:bCs/>
        </w:rPr>
        <w:t xml:space="preserve">邻省节点。</w:t>
      </w:r>
      <w:r>
        <w:t xml:space="preserve"> </w:t>
      </w:r>
      <w:r>
        <w:rPr>
          <w:rFonts w:hint="eastAsia"/>
        </w:rPr>
        <w:t xml:space="preserve">把外部节点改为该省直接相连省份的聚合：负荷为各邻省年度锚定形状乘以各自</w:t>
      </w:r>
      <w:r>
        <w:t xml:space="preserve"> 2030 </w:t>
      </w:r>
      <w:r>
        <w:rPr>
          <w:rFonts w:hint="eastAsia"/>
        </w:rPr>
        <w:t xml:space="preserve">比、机组为各邻省</w:t>
      </w:r>
      <w:r>
        <w:t xml:space="preserve"> GEM 2030 </w:t>
      </w:r>
      <w:r>
        <w:rPr>
          <w:rFonts w:hint="eastAsia"/>
        </w:rPr>
        <w:t xml:space="preserve">清单（煤电必开按本省一半强度）、风光水为归档装机与曲线、可投资气电、风光与储能，另设三倍燃气成本的极高价备用电源使邻省稀缺被定价而不是免费供给。联络容量仍为重建的省间线路合计（未验证）。这样省际交换的价值由邻省自身的稀缺决定。</w:t>
      </w:r>
    </w:p>
    <w:p>
      <w:pPr>
        <w:pStyle w:val="BodyText"/>
      </w:pPr>
      <w:r>
        <w:rPr>
          <w:rFonts w:hint="eastAsia"/>
          <w:b/>
          <w:bCs/>
        </w:rPr>
        <w:t xml:space="preserve">实时价格情景（S1rt）。</w:t>
      </w:r>
      <w:r>
        <w:t xml:space="preserve"> </w:t>
      </w:r>
      <w:r>
        <w:rPr>
          <w:rFonts w:hint="eastAsia"/>
        </w:rPr>
        <w:t xml:space="preserve">企业仍自主优化，但面对的价格形状为</w:t>
      </w:r>
      <w:r>
        <w:t xml:space="preserve"> S2 </w:t>
      </w:r>
      <w:r>
        <w:rPr>
          <w:rFonts w:hint="eastAsia"/>
        </w:rPr>
        <w:t xml:space="preserve">协调解的本省逐时节点边际成本（均值缩放到与分时电价相同）。它回答的问题是：如果企业看到的是系统真实的时间价格信号，兑现差距还剩多少。</w:t>
      </w:r>
    </w:p>
    <w:p>
      <w:pPr>
        <w:pStyle w:val="BodyText"/>
      </w:pPr>
      <w:r>
        <w:rPr>
          <w:rFonts w:hint="eastAsia"/>
          <w:b/>
          <w:bCs/>
        </w:rPr>
        <w:t xml:space="preserve">结果。</w:t>
      </w:r>
      <w:r>
        <w:t xml:space="preserve"> </w:t>
      </w:r>
      <w:r>
        <w:rPr>
          <w:rFonts w:hint="eastAsia"/>
        </w:rPr>
        <w:t xml:space="preserve">邻省节点下允许交换的情景（</w:t>
      </w:r>
      <w:r>
        <w:rPr>
          <w:rStyle w:val="VerbatimChar"/>
        </w:rPr>
        <w:t xml:space="preserve">../tables/regional_2030_gaps_neighbours.csv</w:t>
      </w:r>
      <w:r>
        <w:rPr>
          <w:rFonts w:hint="eastAsia"/>
        </w:rPr>
        <w:t xml:space="preserve">）：</w:t>
      </w:r>
    </w:p>
    <w:tbl>
      <w:tblPr>
        <w:tblStyle w:val="Table"/>
        <w:tblW w:type="pct" w:w="5000"/>
        <w:tblLayout w:type="fixed"/>
        <w:tblLook w:firstRow="1" w:lastRow="0" w:firstColumn="0" w:lastColumn="0" w:noHBand="0" w:noVBand="0" w:val="0020"/>
      </w:tblPr>
      <w:tblGrid>
        <w:gridCol w:w="402"/>
        <w:gridCol w:w="447"/>
        <w:gridCol w:w="357"/>
        <w:gridCol w:w="313"/>
        <w:gridCol w:w="313"/>
        <w:gridCol w:w="357"/>
        <w:gridCol w:w="313"/>
        <w:gridCol w:w="313"/>
        <w:gridCol w:w="492"/>
        <w:gridCol w:w="492"/>
        <w:gridCol w:w="581"/>
        <w:gridCol w:w="492"/>
        <w:gridCol w:w="536"/>
        <w:gridCol w:w="626"/>
        <w:gridCol w:w="626"/>
        <w:gridCol w:w="626"/>
        <w:gridCol w:w="626"/>
      </w:tblGrid>
      <w:tr>
        <w:trPr>
          <w:tblHeader w:val="on"/>
        </w:trPr>
        <w:tc>
          <w:tcPr/>
          <w:p>
            <w:pPr>
              <w:pStyle w:val="Compact"/>
              <w:jc w:val="left"/>
            </w:pPr>
            <w:r>
              <w:rPr>
                <w:rFonts w:hint="eastAsia"/>
              </w:rPr>
              <w:t xml:space="preserve">省份</w:t>
            </w:r>
          </w:p>
        </w:tc>
        <w:tc>
          <w:tcPr/>
          <w:p>
            <w:pPr>
              <w:pStyle w:val="Compact"/>
              <w:jc w:val="right"/>
            </w:pPr>
            <w:r>
              <w:t xml:space="preserve">AI </w:t>
            </w:r>
            <w:r>
              <w:rPr>
                <w:rFonts w:hint="eastAsia"/>
              </w:rPr>
              <w:t xml:space="preserve">占峰荷</w:t>
            </w:r>
          </w:p>
        </w:tc>
        <w:tc>
          <w:tcPr/>
          <w:p>
            <w:pPr>
              <w:pStyle w:val="Compact"/>
              <w:jc w:val="right"/>
            </w:pPr>
            <w:r>
              <w:rPr>
                <w:rFonts w:hint="eastAsia"/>
              </w:rPr>
              <w:t xml:space="preserve">松弛倍数</w:t>
            </w:r>
          </w:p>
        </w:tc>
        <w:tc>
          <w:tcPr/>
          <w:p>
            <w:pPr>
              <w:pStyle w:val="Compact"/>
              <w:jc w:val="right"/>
            </w:pPr>
            <w:r>
              <w:t xml:space="preserve">S0</w:t>
            </w:r>
          </w:p>
        </w:tc>
        <w:tc>
          <w:tcPr/>
          <w:p>
            <w:pPr>
              <w:pStyle w:val="Compact"/>
              <w:jc w:val="right"/>
            </w:pPr>
            <w:r>
              <w:t xml:space="preserve">S1</w:t>
            </w:r>
          </w:p>
        </w:tc>
        <w:tc>
          <w:tcPr/>
          <w:p>
            <w:pPr>
              <w:pStyle w:val="Compact"/>
              <w:jc w:val="right"/>
            </w:pPr>
            <w:r>
              <w:t xml:space="preserve">S1rt</w:t>
            </w:r>
          </w:p>
        </w:tc>
        <w:tc>
          <w:tcPr/>
          <w:p>
            <w:pPr>
              <w:pStyle w:val="Compact"/>
              <w:jc w:val="right"/>
            </w:pPr>
            <w:r>
              <w:t xml:space="preserve">S2</w:t>
            </w:r>
          </w:p>
        </w:tc>
        <w:tc>
          <w:tcPr/>
          <w:p>
            <w:pPr>
              <w:pStyle w:val="Compact"/>
              <w:jc w:val="right"/>
            </w:pPr>
            <w:r>
              <w:t xml:space="preserve">S3</w:t>
            </w:r>
          </w:p>
        </w:tc>
        <w:tc>
          <w:tcPr/>
          <w:p>
            <w:pPr>
              <w:pStyle w:val="Compact"/>
              <w:jc w:val="right"/>
            </w:pPr>
            <w:r>
              <w:t xml:space="preserve">S0−S2 %</w:t>
            </w:r>
          </w:p>
        </w:tc>
        <w:tc>
          <w:tcPr/>
          <w:p>
            <w:pPr>
              <w:pStyle w:val="Compact"/>
              <w:jc w:val="right"/>
            </w:pPr>
            <w:r>
              <w:t xml:space="preserve">S1−S2 %</w:t>
            </w:r>
          </w:p>
        </w:tc>
        <w:tc>
          <w:tcPr/>
          <w:p>
            <w:pPr>
              <w:pStyle w:val="Compact"/>
              <w:jc w:val="right"/>
            </w:pPr>
            <w:r>
              <w:t xml:space="preserve">S1rt−S2 %</w:t>
            </w:r>
          </w:p>
        </w:tc>
        <w:tc>
          <w:tcPr/>
          <w:p>
            <w:pPr>
              <w:pStyle w:val="Compact"/>
              <w:jc w:val="right"/>
            </w:pPr>
            <w:r>
              <w:t xml:space="preserve">S3−S2 %</w:t>
            </w:r>
          </w:p>
        </w:tc>
        <w:tc>
          <w:tcPr/>
          <w:p>
            <w:pPr>
              <w:pStyle w:val="Compact"/>
              <w:jc w:val="right"/>
            </w:pPr>
            <w:r>
              <w:rPr>
                <w:rFonts w:hint="eastAsia"/>
              </w:rPr>
              <w:t xml:space="preserve">无</w:t>
            </w:r>
            <w:r>
              <w:t xml:space="preserve"> AI </w:t>
            </w:r>
            <w:r>
              <w:rPr>
                <w:rFonts w:hint="eastAsia"/>
              </w:rPr>
              <w:t xml:space="preserve">弃电率</w:t>
            </w:r>
          </w:p>
        </w:tc>
        <w:tc>
          <w:tcPr/>
          <w:p>
            <w:pPr>
              <w:pStyle w:val="Compact"/>
              <w:jc w:val="right"/>
            </w:pPr>
            <w:r>
              <w:t xml:space="preserve">S0 </w:t>
            </w:r>
            <w:r>
              <w:rPr>
                <w:rFonts w:hint="eastAsia"/>
              </w:rPr>
              <w:t xml:space="preserve">新增燃气</w:t>
            </w:r>
            <w:r>
              <w:t xml:space="preserve"> MW</w:t>
            </w:r>
          </w:p>
        </w:tc>
        <w:tc>
          <w:tcPr/>
          <w:p>
            <w:pPr>
              <w:pStyle w:val="Compact"/>
              <w:jc w:val="right"/>
            </w:pPr>
            <w:r>
              <w:t xml:space="preserve">S2 </w:t>
            </w:r>
            <w:r>
              <w:rPr>
                <w:rFonts w:hint="eastAsia"/>
              </w:rPr>
              <w:t xml:space="preserve">新增燃气</w:t>
            </w:r>
            <w:r>
              <w:t xml:space="preserve"> MW</w:t>
            </w:r>
          </w:p>
        </w:tc>
        <w:tc>
          <w:tcPr/>
          <w:p>
            <w:pPr>
              <w:pStyle w:val="Compact"/>
              <w:jc w:val="right"/>
            </w:pPr>
            <w:r>
              <w:t xml:space="preserve">S0 </w:t>
            </w:r>
            <w:r>
              <w:rPr>
                <w:rFonts w:hint="eastAsia"/>
              </w:rPr>
              <w:t xml:space="preserve">新增储能</w:t>
            </w:r>
            <w:r>
              <w:t xml:space="preserve"> MW</w:t>
            </w:r>
          </w:p>
        </w:tc>
        <w:tc>
          <w:tcPr/>
          <w:p>
            <w:pPr>
              <w:pStyle w:val="Compact"/>
              <w:jc w:val="right"/>
            </w:pPr>
            <w:r>
              <w:t xml:space="preserve">S2 </w:t>
            </w:r>
            <w:r>
              <w:rPr>
                <w:rFonts w:hint="eastAsia"/>
              </w:rPr>
              <w:t xml:space="preserve">新增储能</w:t>
            </w:r>
            <w:r>
              <w:t xml:space="preserve"> MW</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27.88</w:t>
            </w:r>
          </w:p>
        </w:tc>
        <w:tc>
          <w:tcPr/>
          <w:p>
            <w:pPr>
              <w:pStyle w:val="Compact"/>
              <w:jc w:val="right"/>
            </w:pPr>
            <w:r>
              <w:t xml:space="preserve">27.76</w:t>
            </w:r>
          </w:p>
        </w:tc>
        <w:tc>
          <w:tcPr/>
          <w:p>
            <w:pPr>
              <w:pStyle w:val="Compact"/>
              <w:jc w:val="right"/>
            </w:pPr>
            <w:r>
              <w:t xml:space="preserve">27.65</w:t>
            </w:r>
          </w:p>
        </w:tc>
        <w:tc>
          <w:tcPr/>
          <w:p>
            <w:pPr>
              <w:pStyle w:val="Compact"/>
              <w:jc w:val="right"/>
            </w:pPr>
            <w:r>
              <w:t xml:space="preserve">27.65</w:t>
            </w:r>
          </w:p>
        </w:tc>
        <w:tc>
          <w:tcPr/>
          <w:p>
            <w:pPr>
              <w:pStyle w:val="Compact"/>
              <w:jc w:val="right"/>
            </w:pPr>
            <w:r>
              <w:t xml:space="preserve">27.76</w:t>
            </w:r>
          </w:p>
        </w:tc>
        <w:tc>
          <w:tcPr/>
          <w:p>
            <w:pPr>
              <w:pStyle w:val="Compact"/>
              <w:jc w:val="right"/>
            </w:pPr>
            <w:r>
              <w:t xml:space="preserve">0.83</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27.88</w:t>
            </w:r>
          </w:p>
        </w:tc>
        <w:tc>
          <w:tcPr/>
          <w:p>
            <w:pPr>
              <w:pStyle w:val="Compact"/>
              <w:jc w:val="right"/>
            </w:pPr>
            <w:r>
              <w:t xml:space="preserve">27.83</w:t>
            </w:r>
          </w:p>
        </w:tc>
        <w:tc>
          <w:tcPr/>
          <w:p>
            <w:pPr>
              <w:pStyle w:val="Compact"/>
              <w:jc w:val="right"/>
            </w:pPr>
            <w:r>
              <w:t xml:space="preserve">27.61</w:t>
            </w:r>
          </w:p>
        </w:tc>
        <w:tc>
          <w:tcPr/>
          <w:p>
            <w:pPr>
              <w:pStyle w:val="Compact"/>
              <w:jc w:val="right"/>
            </w:pPr>
            <w:r>
              <w:t xml:space="preserve">27.61</w:t>
            </w:r>
          </w:p>
        </w:tc>
        <w:tc>
          <w:tcPr/>
          <w:p>
            <w:pPr>
              <w:pStyle w:val="Compact"/>
              <w:jc w:val="right"/>
            </w:pPr>
            <w:r>
              <w:t xml:space="preserve">27.83</w:t>
            </w:r>
          </w:p>
        </w:tc>
        <w:tc>
          <w:tcPr/>
          <w:p>
            <w:pPr>
              <w:pStyle w:val="Compact"/>
              <w:jc w:val="right"/>
            </w:pPr>
            <w:r>
              <w:t xml:space="preserve">0.95</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27.87</w:t>
            </w:r>
          </w:p>
        </w:tc>
        <w:tc>
          <w:tcPr/>
          <w:p>
            <w:pPr>
              <w:pStyle w:val="Compact"/>
              <w:jc w:val="right"/>
            </w:pPr>
            <w:r>
              <w:t xml:space="preserve">27.76</w:t>
            </w:r>
          </w:p>
        </w:tc>
        <w:tc>
          <w:tcPr/>
          <w:p>
            <w:pPr>
              <w:pStyle w:val="Compact"/>
              <w:jc w:val="right"/>
            </w:pPr>
            <w:r>
              <w:t xml:space="preserve">27.64</w:t>
            </w:r>
          </w:p>
        </w:tc>
        <w:tc>
          <w:tcPr/>
          <w:p>
            <w:pPr>
              <w:pStyle w:val="Compact"/>
              <w:jc w:val="right"/>
            </w:pPr>
            <w:r>
              <w:t xml:space="preserve">27.64</w:t>
            </w:r>
          </w:p>
        </w:tc>
        <w:tc>
          <w:tcPr/>
          <w:p>
            <w:pPr>
              <w:pStyle w:val="Compact"/>
              <w:jc w:val="right"/>
            </w:pPr>
            <w:r>
              <w:t xml:space="preserve">27.76</w:t>
            </w:r>
          </w:p>
        </w:tc>
        <w:tc>
          <w:tcPr/>
          <w:p>
            <w:pPr>
              <w:pStyle w:val="Compact"/>
              <w:jc w:val="right"/>
            </w:pPr>
            <w:r>
              <w:t xml:space="preserve">0.84</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27.87</w:t>
            </w:r>
          </w:p>
        </w:tc>
        <w:tc>
          <w:tcPr/>
          <w:p>
            <w:pPr>
              <w:pStyle w:val="Compact"/>
              <w:jc w:val="right"/>
            </w:pPr>
            <w:r>
              <w:t xml:space="preserve">27.82</w:t>
            </w:r>
          </w:p>
        </w:tc>
        <w:tc>
          <w:tcPr/>
          <w:p>
            <w:pPr>
              <w:pStyle w:val="Compact"/>
              <w:jc w:val="right"/>
            </w:pPr>
            <w:r>
              <w:t xml:space="preserve">27.61</w:t>
            </w:r>
          </w:p>
        </w:tc>
        <w:tc>
          <w:tcPr/>
          <w:p>
            <w:pPr>
              <w:pStyle w:val="Compact"/>
              <w:jc w:val="right"/>
            </w:pPr>
            <w:r>
              <w:t xml:space="preserve">27.61</w:t>
            </w:r>
          </w:p>
        </w:tc>
        <w:tc>
          <w:tcPr/>
          <w:p>
            <w:pPr>
              <w:pStyle w:val="Compact"/>
              <w:jc w:val="right"/>
            </w:pPr>
            <w:r>
              <w:t xml:space="preserve">27.82</w:t>
            </w:r>
          </w:p>
        </w:tc>
        <w:tc>
          <w:tcPr/>
          <w:p>
            <w:pPr>
              <w:pStyle w:val="Compact"/>
              <w:jc w:val="right"/>
            </w:pPr>
            <w:r>
              <w:t xml:space="preserve">0.95</w:t>
            </w:r>
          </w:p>
        </w:tc>
        <w:tc>
          <w:tcPr/>
          <w:p>
            <w:pPr>
              <w:pStyle w:val="Compact"/>
              <w:jc w:val="right"/>
            </w:pPr>
            <w:r>
              <w:t xml:space="preserve">0.76</w:t>
            </w:r>
          </w:p>
        </w:tc>
        <w:tc>
          <w:tcPr/>
          <w:p>
            <w:pPr>
              <w:pStyle w:val="Compact"/>
              <w:jc w:val="right"/>
            </w:pPr>
            <w:r>
              <w:t xml:space="preserve">0.01</w:t>
            </w:r>
          </w:p>
        </w:tc>
        <w:tc>
          <w:tcPr/>
          <w:p>
            <w:pPr>
              <w:pStyle w:val="Compact"/>
              <w:jc w:val="right"/>
            </w:pPr>
            <w:r>
              <w:t xml:space="preserve">0.76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27.86</w:t>
            </w:r>
          </w:p>
        </w:tc>
        <w:tc>
          <w:tcPr/>
          <w:p>
            <w:pPr>
              <w:pStyle w:val="Compact"/>
              <w:jc w:val="right"/>
            </w:pPr>
            <w:r>
              <w:t xml:space="preserve">27.74</w:t>
            </w:r>
          </w:p>
        </w:tc>
        <w:tc>
          <w:tcPr/>
          <w:p>
            <w:pPr>
              <w:pStyle w:val="Compact"/>
              <w:jc w:val="right"/>
            </w:pPr>
            <w:r>
              <w:t xml:space="preserve">27.64</w:t>
            </w:r>
          </w:p>
        </w:tc>
        <w:tc>
          <w:tcPr/>
          <w:p>
            <w:pPr>
              <w:pStyle w:val="Compact"/>
              <w:jc w:val="right"/>
            </w:pPr>
            <w:r>
              <w:t xml:space="preserve">27.63</w:t>
            </w:r>
          </w:p>
        </w:tc>
        <w:tc>
          <w:tcPr/>
          <w:p>
            <w:pPr>
              <w:pStyle w:val="Compact"/>
              <w:jc w:val="right"/>
            </w:pPr>
            <w:r>
              <w:t xml:space="preserve">27.74</w:t>
            </w:r>
          </w:p>
        </w:tc>
        <w:tc>
          <w:tcPr/>
          <w:p>
            <w:pPr>
              <w:pStyle w:val="Compact"/>
              <w:jc w:val="right"/>
            </w:pPr>
            <w:r>
              <w:t xml:space="preserve">0.84</w:t>
            </w:r>
          </w:p>
        </w:tc>
        <w:tc>
          <w:tcPr/>
          <w:p>
            <w:pPr>
              <w:pStyle w:val="Compact"/>
              <w:jc w:val="right"/>
            </w:pPr>
            <w:r>
              <w:t xml:space="preserve">0.39</w:t>
            </w:r>
          </w:p>
        </w:tc>
        <w:tc>
          <w:tcPr/>
          <w:p>
            <w:pPr>
              <w:pStyle w:val="Compact"/>
              <w:jc w:val="right"/>
            </w:pPr>
            <w:r>
              <w:t xml:space="preserve">0.02</w:t>
            </w:r>
          </w:p>
        </w:tc>
        <w:tc>
          <w:tcPr/>
          <w:p>
            <w:pPr>
              <w:pStyle w:val="Compact"/>
              <w:jc w:val="right"/>
            </w:pPr>
            <w:r>
              <w:t xml:space="preserve">0.39</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Gansu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27.86</w:t>
            </w:r>
          </w:p>
        </w:tc>
        <w:tc>
          <w:tcPr/>
          <w:p>
            <w:pPr>
              <w:pStyle w:val="Compact"/>
              <w:jc w:val="right"/>
            </w:pPr>
            <w:r>
              <w:t xml:space="preserve">27.8</w:t>
            </w:r>
          </w:p>
        </w:tc>
        <w:tc>
          <w:tcPr/>
          <w:p>
            <w:pPr>
              <w:pStyle w:val="Compact"/>
              <w:jc w:val="right"/>
            </w:pPr>
            <w:r>
              <w:t xml:space="preserve">27.63</w:t>
            </w:r>
          </w:p>
        </w:tc>
        <w:tc>
          <w:tcPr/>
          <w:p>
            <w:pPr>
              <w:pStyle w:val="Compact"/>
              <w:jc w:val="right"/>
            </w:pPr>
            <w:r>
              <w:t xml:space="preserve">27.62</w:t>
            </w:r>
          </w:p>
        </w:tc>
        <w:tc>
          <w:tcPr/>
          <w:p>
            <w:pPr>
              <w:pStyle w:val="Compact"/>
              <w:jc w:val="right"/>
            </w:pPr>
            <w:r>
              <w:t xml:space="preserve">27.8</w:t>
            </w:r>
          </w:p>
        </w:tc>
        <w:tc>
          <w:tcPr/>
          <w:p>
            <w:pPr>
              <w:pStyle w:val="Compact"/>
              <w:jc w:val="right"/>
            </w:pPr>
            <w:r>
              <w:t xml:space="preserve">0.88</w:t>
            </w:r>
          </w:p>
        </w:tc>
        <w:tc>
          <w:tcPr/>
          <w:p>
            <w:pPr>
              <w:pStyle w:val="Compact"/>
              <w:jc w:val="right"/>
            </w:pPr>
            <w:r>
              <w:t xml:space="preserve">0.64</w:t>
            </w:r>
          </w:p>
        </w:tc>
        <w:tc>
          <w:tcPr/>
          <w:p>
            <w:pPr>
              <w:pStyle w:val="Compact"/>
              <w:jc w:val="right"/>
            </w:pPr>
            <w:r>
              <w:t xml:space="preserve">0.04</w:t>
            </w:r>
          </w:p>
        </w:tc>
        <w:tc>
          <w:tcPr/>
          <w:p>
            <w:pPr>
              <w:pStyle w:val="Compact"/>
              <w:jc w:val="right"/>
            </w:pPr>
            <w:r>
              <w:t xml:space="preserve">0.64</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27.45</w:t>
            </w:r>
          </w:p>
        </w:tc>
        <w:tc>
          <w:tcPr/>
          <w:p>
            <w:pPr>
              <w:pStyle w:val="Compact"/>
              <w:jc w:val="right"/>
            </w:pPr>
            <w:r>
              <w:t xml:space="preserve">27.39</w:t>
            </w:r>
          </w:p>
        </w:tc>
        <w:tc>
          <w:tcPr/>
          <w:p>
            <w:pPr>
              <w:pStyle w:val="Compact"/>
              <w:jc w:val="right"/>
            </w:pPr>
            <w:r>
              <w:t xml:space="preserve">27.35</w:t>
            </w:r>
          </w:p>
        </w:tc>
        <w:tc>
          <w:tcPr/>
          <w:p>
            <w:pPr>
              <w:pStyle w:val="Compact"/>
              <w:jc w:val="right"/>
            </w:pPr>
            <w:r>
              <w:t xml:space="preserve">27.35</w:t>
            </w:r>
          </w:p>
        </w:tc>
        <w:tc>
          <w:tcPr/>
          <w:p>
            <w:pPr>
              <w:pStyle w:val="Compact"/>
              <w:jc w:val="right"/>
            </w:pPr>
            <w:r>
              <w:t xml:space="preserve">27.39</w:t>
            </w:r>
          </w:p>
        </w:tc>
        <w:tc>
          <w:tcPr/>
          <w:p>
            <w:pPr>
              <w:pStyle w:val="Compact"/>
              <w:jc w:val="right"/>
            </w:pPr>
            <w:r>
              <w:t xml:space="preserve">0.36</w:t>
            </w:r>
          </w:p>
        </w:tc>
        <w:tc>
          <w:tcPr/>
          <w:p>
            <w:pPr>
              <w:pStyle w:val="Compact"/>
              <w:jc w:val="right"/>
            </w:pPr>
            <w:r>
              <w:t xml:space="preserve">0.16</w:t>
            </w:r>
          </w:p>
        </w:tc>
        <w:tc>
          <w:tcPr/>
          <w:p>
            <w:pPr>
              <w:pStyle w:val="Compact"/>
              <w:jc w:val="right"/>
            </w:pPr>
            <w:r>
              <w:t xml:space="preserve">0.01</w:t>
            </w:r>
          </w:p>
        </w:tc>
        <w:tc>
          <w:tcPr/>
          <w:p>
            <w:pPr>
              <w:pStyle w:val="Compact"/>
              <w:jc w:val="right"/>
            </w:pPr>
            <w:r>
              <w:t xml:space="preserve">0.16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27.45</w:t>
            </w:r>
          </w:p>
        </w:tc>
        <w:tc>
          <w:tcPr/>
          <w:p>
            <w:pPr>
              <w:pStyle w:val="Compact"/>
              <w:jc w:val="right"/>
            </w:pPr>
            <w:r>
              <w:t xml:space="preserve">27.45</w:t>
            </w:r>
          </w:p>
        </w:tc>
        <w:tc>
          <w:tcPr/>
          <w:p>
            <w:pPr>
              <w:pStyle w:val="Compact"/>
              <w:jc w:val="right"/>
            </w:pPr>
            <w:r>
              <w:t xml:space="preserve">27.3</w:t>
            </w:r>
          </w:p>
        </w:tc>
        <w:tc>
          <w:tcPr/>
          <w:p>
            <w:pPr>
              <w:pStyle w:val="Compact"/>
              <w:jc w:val="right"/>
            </w:pPr>
            <w:r>
              <w:t xml:space="preserve">27.3</w:t>
            </w:r>
          </w:p>
        </w:tc>
        <w:tc>
          <w:tcPr/>
          <w:p>
            <w:pPr>
              <w:pStyle w:val="Compact"/>
              <w:jc w:val="right"/>
            </w:pPr>
            <w:r>
              <w:t xml:space="preserve">27.45</w:t>
            </w:r>
          </w:p>
        </w:tc>
        <w:tc>
          <w:tcPr/>
          <w:p>
            <w:pPr>
              <w:pStyle w:val="Compact"/>
              <w:jc w:val="right"/>
            </w:pPr>
            <w:r>
              <w:t xml:space="preserve">0.54</w:t>
            </w:r>
          </w:p>
        </w:tc>
        <w:tc>
          <w:tcPr/>
          <w:p>
            <w:pPr>
              <w:pStyle w:val="Compact"/>
              <w:jc w:val="right"/>
            </w:pPr>
            <w:r>
              <w:t xml:space="preserve">0.56</w:t>
            </w:r>
          </w:p>
        </w:tc>
        <w:tc>
          <w:tcPr/>
          <w:p>
            <w:pPr>
              <w:pStyle w:val="Compact"/>
              <w:jc w:val="right"/>
            </w:pPr>
            <w:r>
              <w:t xml:space="preserve">0.01</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27.44</w:t>
            </w:r>
          </w:p>
        </w:tc>
        <w:tc>
          <w:tcPr/>
          <w:p>
            <w:pPr>
              <w:pStyle w:val="Compact"/>
              <w:jc w:val="right"/>
            </w:pPr>
            <w:r>
              <w:t xml:space="preserve">27.37</w:t>
            </w:r>
          </w:p>
        </w:tc>
        <w:tc>
          <w:tcPr/>
          <w:p>
            <w:pPr>
              <w:pStyle w:val="Compact"/>
              <w:jc w:val="right"/>
            </w:pPr>
            <w:r>
              <w:t xml:space="preserve">27.33</w:t>
            </w:r>
          </w:p>
        </w:tc>
        <w:tc>
          <w:tcPr/>
          <w:p>
            <w:pPr>
              <w:pStyle w:val="Compact"/>
              <w:jc w:val="right"/>
            </w:pPr>
            <w:r>
              <w:t xml:space="preserve">27.33</w:t>
            </w:r>
          </w:p>
        </w:tc>
        <w:tc>
          <w:tcPr/>
          <w:p>
            <w:pPr>
              <w:pStyle w:val="Compact"/>
              <w:jc w:val="right"/>
            </w:pPr>
            <w:r>
              <w:t xml:space="preserve">27.37</w:t>
            </w:r>
          </w:p>
        </w:tc>
        <w:tc>
          <w:tcPr/>
          <w:p>
            <w:pPr>
              <w:pStyle w:val="Compact"/>
              <w:jc w:val="right"/>
            </w:pPr>
            <w:r>
              <w:t xml:space="preserve">0.42</w:t>
            </w:r>
          </w:p>
        </w:tc>
        <w:tc>
          <w:tcPr/>
          <w:p>
            <w:pPr>
              <w:pStyle w:val="Compact"/>
              <w:jc w:val="right"/>
            </w:pPr>
            <w:r>
              <w:t xml:space="preserve">0.14</w:t>
            </w:r>
          </w:p>
        </w:tc>
        <w:tc>
          <w:tcPr/>
          <w:p>
            <w:pPr>
              <w:pStyle w:val="Compact"/>
              <w:jc w:val="right"/>
            </w:pPr>
            <w:r>
              <w:t xml:space="preserve">0.01</w:t>
            </w:r>
          </w:p>
        </w:tc>
        <w:tc>
          <w:tcPr/>
          <w:p>
            <w:pPr>
              <w:pStyle w:val="Compact"/>
              <w:jc w:val="right"/>
            </w:pPr>
            <w:r>
              <w:t xml:space="preserve">0.14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27.44</w:t>
            </w:r>
          </w:p>
        </w:tc>
        <w:tc>
          <w:tcPr/>
          <w:p>
            <w:pPr>
              <w:pStyle w:val="Compact"/>
              <w:jc w:val="right"/>
            </w:pPr>
            <w:r>
              <w:t xml:space="preserve">27.41</w:t>
            </w:r>
          </w:p>
        </w:tc>
        <w:tc>
          <w:tcPr/>
          <w:p>
            <w:pPr>
              <w:pStyle w:val="Compact"/>
              <w:jc w:val="right"/>
            </w:pPr>
            <w:r>
              <w:t xml:space="preserve">27.27</w:t>
            </w:r>
          </w:p>
        </w:tc>
        <w:tc>
          <w:tcPr/>
          <w:p>
            <w:pPr>
              <w:pStyle w:val="Compact"/>
              <w:jc w:val="right"/>
            </w:pPr>
            <w:r>
              <w:t xml:space="preserve">27.26</w:t>
            </w:r>
          </w:p>
        </w:tc>
        <w:tc>
          <w:tcPr/>
          <w:p>
            <w:pPr>
              <w:pStyle w:val="Compact"/>
              <w:jc w:val="right"/>
            </w:pPr>
            <w:r>
              <w:t xml:space="preserve">27.41</w:t>
            </w:r>
          </w:p>
        </w:tc>
        <w:tc>
          <w:tcPr/>
          <w:p>
            <w:pPr>
              <w:pStyle w:val="Compact"/>
              <w:jc w:val="right"/>
            </w:pPr>
            <w:r>
              <w:t xml:space="preserve">0.67</w:t>
            </w:r>
          </w:p>
        </w:tc>
        <w:tc>
          <w:tcPr/>
          <w:p>
            <w:pPr>
              <w:pStyle w:val="Compact"/>
              <w:jc w:val="right"/>
            </w:pPr>
            <w:r>
              <w:t xml:space="preserve">0.56</w:t>
            </w:r>
          </w:p>
        </w:tc>
        <w:tc>
          <w:tcPr/>
          <w:p>
            <w:pPr>
              <w:pStyle w:val="Compact"/>
              <w:jc w:val="right"/>
            </w:pPr>
            <w:r>
              <w:t xml:space="preserve">0.05</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27.42</w:t>
            </w:r>
          </w:p>
        </w:tc>
        <w:tc>
          <w:tcPr/>
          <w:p>
            <w:pPr>
              <w:pStyle w:val="Compact"/>
              <w:jc w:val="right"/>
            </w:pPr>
            <w:r>
              <w:t xml:space="preserve">27.29</w:t>
            </w:r>
          </w:p>
        </w:tc>
        <w:tc>
          <w:tcPr/>
          <w:p>
            <w:pPr>
              <w:pStyle w:val="Compact"/>
              <w:jc w:val="right"/>
            </w:pPr>
            <w:r>
              <w:t xml:space="preserve">27.28</w:t>
            </w:r>
          </w:p>
        </w:tc>
        <w:tc>
          <w:tcPr/>
          <w:p>
            <w:pPr>
              <w:pStyle w:val="Compact"/>
              <w:jc w:val="right"/>
            </w:pPr>
            <w:r>
              <w:t xml:space="preserve">27.28</w:t>
            </w:r>
          </w:p>
        </w:tc>
        <w:tc>
          <w:tcPr/>
          <w:p>
            <w:pPr>
              <w:pStyle w:val="Compact"/>
              <w:jc w:val="right"/>
            </w:pPr>
            <w:r>
              <w:t xml:space="preserve">27.29</w:t>
            </w:r>
          </w:p>
        </w:tc>
        <w:tc>
          <w:tcPr/>
          <w:p>
            <w:pPr>
              <w:pStyle w:val="Compact"/>
              <w:jc w:val="right"/>
            </w:pPr>
            <w:r>
              <w:t xml:space="preserve">0.51</w:t>
            </w:r>
          </w:p>
        </w:tc>
        <w:tc>
          <w:tcPr/>
          <w:p>
            <w:pPr>
              <w:pStyle w:val="Compact"/>
              <w:jc w:val="right"/>
            </w:pPr>
            <w:r>
              <w:t xml:space="preserve">0.06</w:t>
            </w:r>
          </w:p>
        </w:tc>
        <w:tc>
          <w:tcPr/>
          <w:p>
            <w:pPr>
              <w:pStyle w:val="Compact"/>
              <w:jc w:val="right"/>
            </w:pPr>
            <w:r>
              <w:t xml:space="preserve">0.02</w:t>
            </w:r>
          </w:p>
        </w:tc>
        <w:tc>
          <w:tcPr/>
          <w:p>
            <w:pPr>
              <w:pStyle w:val="Compact"/>
              <w:jc w:val="right"/>
            </w:pPr>
            <w:r>
              <w:t xml:space="preserve">0.06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Guizhou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27.42</w:t>
            </w:r>
          </w:p>
        </w:tc>
        <w:tc>
          <w:tcPr/>
          <w:p>
            <w:pPr>
              <w:pStyle w:val="Compact"/>
              <w:jc w:val="right"/>
            </w:pPr>
            <w:r>
              <w:t xml:space="preserve">27.32</w:t>
            </w:r>
          </w:p>
        </w:tc>
        <w:tc>
          <w:tcPr/>
          <w:p>
            <w:pPr>
              <w:pStyle w:val="Compact"/>
              <w:jc w:val="right"/>
            </w:pPr>
            <w:r>
              <w:t xml:space="preserve">27.21</w:t>
            </w:r>
          </w:p>
        </w:tc>
        <w:tc>
          <w:tcPr/>
          <w:p>
            <w:pPr>
              <w:pStyle w:val="Compact"/>
              <w:jc w:val="right"/>
            </w:pPr>
            <w:r>
              <w:t xml:space="preserve">27.2</w:t>
            </w:r>
          </w:p>
        </w:tc>
        <w:tc>
          <w:tcPr/>
          <w:p>
            <w:pPr>
              <w:pStyle w:val="Compact"/>
              <w:jc w:val="right"/>
            </w:pPr>
            <w:r>
              <w:t xml:space="preserve">27.32</w:t>
            </w:r>
          </w:p>
        </w:tc>
        <w:tc>
          <w:tcPr/>
          <w:p>
            <w:pPr>
              <w:pStyle w:val="Compact"/>
              <w:jc w:val="right"/>
            </w:pPr>
            <w:r>
              <w:t xml:space="preserve">0.82</w:t>
            </w:r>
          </w:p>
        </w:tc>
        <w:tc>
          <w:tcPr/>
          <w:p>
            <w:pPr>
              <w:pStyle w:val="Compact"/>
              <w:jc w:val="right"/>
            </w:pPr>
            <w:r>
              <w:t xml:space="preserve">0.44</w:t>
            </w:r>
          </w:p>
        </w:tc>
        <w:tc>
          <w:tcPr/>
          <w:p>
            <w:pPr>
              <w:pStyle w:val="Compact"/>
              <w:jc w:val="right"/>
            </w:pPr>
            <w:r>
              <w:t xml:space="preserve">0.06</w:t>
            </w:r>
          </w:p>
        </w:tc>
        <w:tc>
          <w:tcPr/>
          <w:p>
            <w:pPr>
              <w:pStyle w:val="Compact"/>
              <w:jc w:val="right"/>
            </w:pPr>
            <w:r>
              <w:t xml:space="preserve">0.44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1</w:t>
            </w:r>
          </w:p>
        </w:tc>
        <w:tc>
          <w:tcPr/>
          <w:p>
            <w:pPr>
              <w:pStyle w:val="Compact"/>
              <w:jc w:val="right"/>
            </w:pPr>
            <w:r>
              <w:t xml:space="preserve">28.3</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0.08</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0.05</w:t>
            </w:r>
          </w:p>
        </w:tc>
        <w:tc>
          <w:tcPr/>
          <w:p>
            <w:pPr>
              <w:pStyle w:val="Compact"/>
              <w:jc w:val="right"/>
            </w:pPr>
            <w:r>
              <w:t xml:space="preserve">3</w:t>
            </w:r>
          </w:p>
        </w:tc>
        <w:tc>
          <w:tcPr/>
          <w:p>
            <w:pPr>
              <w:pStyle w:val="Compact"/>
              <w:jc w:val="right"/>
            </w:pPr>
            <w:r>
              <w:t xml:space="preserve">28.3</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28.28</w:t>
            </w:r>
          </w:p>
        </w:tc>
        <w:tc>
          <w:tcPr/>
          <w:p>
            <w:pPr>
              <w:pStyle w:val="Compact"/>
              <w:jc w:val="right"/>
            </w:pPr>
            <w:r>
              <w:t xml:space="preserve">0.09</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1</w:t>
            </w:r>
          </w:p>
        </w:tc>
        <w:tc>
          <w:tcPr/>
          <w:p>
            <w:pPr>
              <w:pStyle w:val="Compact"/>
              <w:jc w:val="right"/>
            </w:pPr>
            <w:r>
              <w:t xml:space="preserve">28.34</w:t>
            </w:r>
          </w:p>
        </w:tc>
        <w:tc>
          <w:tcPr/>
          <w:p>
            <w:pPr>
              <w:pStyle w:val="Compact"/>
              <w:jc w:val="right"/>
            </w:pPr>
            <w:r>
              <w:t xml:space="preserve">28.31</w:t>
            </w:r>
          </w:p>
        </w:tc>
        <w:tc>
          <w:tcPr/>
          <w:p>
            <w:pPr>
              <w:pStyle w:val="Compact"/>
              <w:jc w:val="right"/>
            </w:pPr>
            <w:r>
              <w:t xml:space="preserve">28.31</w:t>
            </w:r>
          </w:p>
        </w:tc>
        <w:tc>
          <w:tcPr/>
          <w:p>
            <w:pPr>
              <w:pStyle w:val="Compact"/>
              <w:jc w:val="right"/>
            </w:pPr>
            <w:r>
              <w:t xml:space="preserve">28.31</w:t>
            </w:r>
          </w:p>
        </w:tc>
        <w:tc>
          <w:tcPr/>
          <w:p>
            <w:pPr>
              <w:pStyle w:val="Compact"/>
              <w:jc w:val="right"/>
            </w:pPr>
            <w:r>
              <w:t xml:space="preserve">28.31</w:t>
            </w:r>
          </w:p>
        </w:tc>
        <w:tc>
          <w:tcPr/>
          <w:p>
            <w:pPr>
              <w:pStyle w:val="Compact"/>
              <w:jc w:val="right"/>
            </w:pPr>
            <w:r>
              <w:t xml:space="preserve">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0.1</w:t>
            </w:r>
          </w:p>
        </w:tc>
        <w:tc>
          <w:tcPr/>
          <w:p>
            <w:pPr>
              <w:pStyle w:val="Compact"/>
              <w:jc w:val="right"/>
            </w:pPr>
            <w:r>
              <w:t xml:space="preserve">3</w:t>
            </w:r>
          </w:p>
        </w:tc>
        <w:tc>
          <w:tcPr/>
          <w:p>
            <w:pPr>
              <w:pStyle w:val="Compact"/>
              <w:jc w:val="right"/>
            </w:pPr>
            <w:r>
              <w:t xml:space="preserve">28.34</w:t>
            </w:r>
          </w:p>
        </w:tc>
        <w:tc>
          <w:tcPr/>
          <w:p>
            <w:pPr>
              <w:pStyle w:val="Compact"/>
              <w:jc w:val="right"/>
            </w:pPr>
            <w:r>
              <w:t xml:space="preserve">28.3</w:t>
            </w:r>
          </w:p>
        </w:tc>
        <w:tc>
          <w:tcPr/>
          <w:p>
            <w:pPr>
              <w:pStyle w:val="Compact"/>
              <w:jc w:val="right"/>
            </w:pPr>
            <w:r>
              <w:t xml:space="preserve">28.3</w:t>
            </w:r>
          </w:p>
        </w:tc>
        <w:tc>
          <w:tcPr/>
          <w:p>
            <w:pPr>
              <w:pStyle w:val="Compact"/>
              <w:jc w:val="right"/>
            </w:pPr>
            <w:r>
              <w:t xml:space="preserve">28.3</w:t>
            </w:r>
          </w:p>
        </w:tc>
        <w:tc>
          <w:tcPr/>
          <w:p>
            <w:pPr>
              <w:pStyle w:val="Compact"/>
              <w:jc w:val="right"/>
            </w:pPr>
            <w:r>
              <w:t xml:space="preserve">28.3</w:t>
            </w:r>
          </w:p>
        </w:tc>
        <w:tc>
          <w:tcPr/>
          <w:p>
            <w:pPr>
              <w:pStyle w:val="Compact"/>
              <w:jc w:val="right"/>
            </w:pPr>
            <w:r>
              <w:t xml:space="preserve">0.14</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1</w:t>
            </w:r>
          </w:p>
        </w:tc>
        <w:tc>
          <w:tcPr/>
          <w:p>
            <w:pPr>
              <w:pStyle w:val="Compact"/>
              <w:jc w:val="right"/>
            </w:pPr>
            <w:r>
              <w:t xml:space="preserve">28.42</w:t>
            </w:r>
          </w:p>
        </w:tc>
        <w:tc>
          <w:tcPr/>
          <w:p>
            <w:pPr>
              <w:pStyle w:val="Compact"/>
              <w:jc w:val="right"/>
            </w:pPr>
            <w:r>
              <w:t xml:space="preserve">28.37</w:t>
            </w:r>
          </w:p>
        </w:tc>
        <w:tc>
          <w:tcPr/>
          <w:p>
            <w:pPr>
              <w:pStyle w:val="Compact"/>
              <w:jc w:val="right"/>
            </w:pPr>
            <w:r>
              <w:t xml:space="preserve">28.38</w:t>
            </w:r>
          </w:p>
        </w:tc>
        <w:tc>
          <w:tcPr/>
          <w:p>
            <w:pPr>
              <w:pStyle w:val="Compact"/>
              <w:jc w:val="right"/>
            </w:pPr>
            <w:r>
              <w:t xml:space="preserve">28.37</w:t>
            </w:r>
          </w:p>
        </w:tc>
        <w:tc>
          <w:tcPr/>
          <w:p>
            <w:pPr>
              <w:pStyle w:val="Compact"/>
              <w:jc w:val="right"/>
            </w:pPr>
            <w:r>
              <w:t xml:space="preserve">28.37</w:t>
            </w:r>
          </w:p>
        </w:tc>
        <w:tc>
          <w:tcPr/>
          <w:p>
            <w:pPr>
              <w:pStyle w:val="Compact"/>
              <w:jc w:val="right"/>
            </w:pPr>
            <w:r>
              <w:t xml:space="preserve">0.16</w:t>
            </w:r>
          </w:p>
        </w:tc>
        <w:tc>
          <w:tcPr/>
          <w:p>
            <w:pPr>
              <w:pStyle w:val="Compact"/>
              <w:jc w:val="right"/>
            </w:pPr>
            <w:r>
              <w:t xml:space="preserve">0</w:t>
            </w:r>
          </w:p>
        </w:tc>
        <w:tc>
          <w:tcPr/>
          <w:p>
            <w:pPr>
              <w:pStyle w:val="Compact"/>
              <w:jc w:val="right"/>
            </w:pPr>
            <w:r>
              <w:t xml:space="preserve">0.01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Jiangsu</w:t>
            </w:r>
          </w:p>
        </w:tc>
        <w:tc>
          <w:tcPr/>
          <w:p>
            <w:pPr>
              <w:pStyle w:val="Compact"/>
              <w:jc w:val="right"/>
            </w:pPr>
            <w:r>
              <w:t xml:space="preserve">0.2</w:t>
            </w:r>
          </w:p>
        </w:tc>
        <w:tc>
          <w:tcPr/>
          <w:p>
            <w:pPr>
              <w:pStyle w:val="Compact"/>
              <w:jc w:val="right"/>
            </w:pPr>
            <w:r>
              <w:t xml:space="preserve">3</w:t>
            </w:r>
          </w:p>
        </w:tc>
        <w:tc>
          <w:tcPr/>
          <w:p>
            <w:pPr>
              <w:pStyle w:val="Compact"/>
              <w:jc w:val="right"/>
            </w:pPr>
            <w:r>
              <w:t xml:space="preserve">28.42</w:t>
            </w:r>
          </w:p>
        </w:tc>
        <w:tc>
          <w:tcPr/>
          <w:p>
            <w:pPr>
              <w:pStyle w:val="Compact"/>
              <w:jc w:val="right"/>
            </w:pPr>
            <w:r>
              <w:t xml:space="preserve">28.36</w:t>
            </w:r>
          </w:p>
        </w:tc>
        <w:tc>
          <w:tcPr/>
          <w:p>
            <w:pPr>
              <w:pStyle w:val="Compact"/>
              <w:jc w:val="right"/>
            </w:pPr>
            <w:r>
              <w:t xml:space="preserve">28.36</w:t>
            </w:r>
          </w:p>
        </w:tc>
        <w:tc>
          <w:tcPr/>
          <w:p>
            <w:pPr>
              <w:pStyle w:val="Compact"/>
              <w:jc w:val="right"/>
            </w:pPr>
            <w:r>
              <w:t xml:space="preserve">28.35</w:t>
            </w:r>
          </w:p>
        </w:tc>
        <w:tc>
          <w:tcPr/>
          <w:p>
            <w:pPr>
              <w:pStyle w:val="Compact"/>
              <w:jc w:val="right"/>
            </w:pPr>
            <w:r>
              <w:t xml:space="preserve">28.36</w:t>
            </w:r>
          </w:p>
        </w:tc>
        <w:tc>
          <w:tcPr/>
          <w:p>
            <w:pPr>
              <w:pStyle w:val="Compact"/>
              <w:jc w:val="right"/>
            </w:pPr>
            <w:r>
              <w:t xml:space="preserve">0.23</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rPr>
          <w:rFonts w:hint="eastAsia"/>
        </w:rPr>
        <w:t xml:space="preserve">三点判断：其一，用真实邻省替代固定价格代理后，允许交换情景的刚性到协调差距不再被抹平，甘肃为</w:t>
      </w:r>
      <w:r>
        <w:t xml:space="preserve"> 0.8% </w:t>
      </w:r>
      <w:r>
        <w:rPr>
          <w:rFonts w:hint="eastAsia"/>
        </w:rPr>
        <w:t xml:space="preserve">到</w:t>
      </w:r>
      <w:r>
        <w:t xml:space="preserve"> </w:t>
      </w:r>
      <w:r>
        <w:rPr>
          <w:rFonts w:hint="eastAsia"/>
        </w:rPr>
        <w:t xml:space="preserve">1.0%，江苏为</w:t>
      </w:r>
      <w:r>
        <w:t xml:space="preserve"> 0.1% </w:t>
      </w:r>
      <w:r>
        <w:rPr>
          <w:rFonts w:hint="eastAsia"/>
        </w:rPr>
        <w:t xml:space="preserve">到</w:t>
      </w:r>
      <w:r>
        <w:t xml:space="preserve"> </w:t>
      </w:r>
      <w:r>
        <w:rPr>
          <w:rFonts w:hint="eastAsia"/>
        </w:rPr>
        <w:t xml:space="preserve">0.2%，贵州为</w:t>
      </w:r>
      <w:r>
        <w:t xml:space="preserve"> 0.4% </w:t>
      </w:r>
      <w:r>
        <w:rPr>
          <w:rFonts w:hint="eastAsia"/>
        </w:rPr>
        <w:t xml:space="preserve">到</w:t>
      </w:r>
      <w:r>
        <w:t xml:space="preserve"> </w:t>
      </w:r>
      <w:r>
        <w:rPr>
          <w:rFonts w:hint="eastAsia"/>
        </w:rPr>
        <w:t xml:space="preserve">0.8%，说明省际交换只是把稀缺转移到邻省而非消除。其二，企业面对系统实时价格形状时，与协调解的差距在全部设定下不超过</w:t>
      </w:r>
      <w:r>
        <w:t xml:space="preserve"> </w:t>
      </w:r>
      <w:r>
        <w:rPr>
          <w:rFonts w:hint="eastAsia"/>
        </w:rPr>
        <w:t xml:space="preserve">3.14%（固定价格代理下不超过</w:t>
      </w:r>
      <w:r>
        <w:t xml:space="preserve"> </w:t>
      </w:r>
      <w:r>
        <w:rPr>
          <w:rFonts w:hint="eastAsia"/>
        </w:rPr>
        <w:t xml:space="preserve">3.14%），即差距几乎完全来自价格信号的形状，而不是企业自主本身。其三，事件型承诺机制</w:t>
      </w:r>
      <w:r>
        <w:t xml:space="preserve"> S3 </w:t>
      </w:r>
      <w:r>
        <w:rPr>
          <w:rFonts w:hint="eastAsia"/>
        </w:rPr>
        <w:t xml:space="preserve">仍与</w:t>
      </w:r>
      <w:r>
        <w:t xml:space="preserve"> S1 </w:t>
      </w:r>
      <w:r>
        <w:rPr>
          <w:rFonts w:hint="eastAsia"/>
        </w:rPr>
        <w:t xml:space="preserve">几乎相同。合起来的含义是：AI</w:t>
      </w:r>
      <w:r>
        <w:t xml:space="preserve"> </w:t>
      </w:r>
      <w:r>
        <w:rPr>
          <w:rFonts w:hint="eastAsia"/>
        </w:rPr>
        <w:t xml:space="preserve">负荷协调价值的兑现主要取决于企业面对的时间价格是否反映系统边际成本，连续的价格或调度信号比事件合同重要得多。这些是公开数据情景下的方向性结论，仍待逐时负荷验证与多气象年检验。</w:t>
      </w:r>
    </w:p>
    <w:p>
      <w:pPr>
        <w:pStyle w:val="BodyText"/>
      </w:pPr>
      <w:r>
        <w:rPr>
          <w:rFonts w:hint="eastAsia"/>
        </w:rPr>
        <w:t xml:space="preserve">图：</w:t>
      </w:r>
      <w:r>
        <w:rPr>
          <w:rStyle w:val="VerbatimChar"/>
        </w:rPr>
        <w:t xml:space="preserve">../figures/regional_2030_cost_emissions_neighbours.png</w:t>
      </w:r>
      <w:r>
        <w:t xml:space="preserve">。</w:t>
      </w:r>
      <w:r>
        <w:t xml:space="preserve"> </w:t>
      </w:r>
      <w:r>
        <w:rPr>
          <w:rFonts w:hint="eastAsia"/>
          <w:b/>
          <w:bCs/>
        </w:rPr>
        <w:t xml:space="preserve">峰荷修正敏感性。</w:t>
      </w:r>
      <w:r>
        <w:t xml:space="preserve"> </w:t>
      </w:r>
      <w:r>
        <w:rPr>
          <w:rFonts w:hint="eastAsia"/>
        </w:rPr>
        <w:t xml:space="preserve">把甘肃</w:t>
      </w:r>
      <w:r>
        <w:t xml:space="preserve"> 2020 </w:t>
      </w:r>
      <w:r>
        <w:rPr>
          <w:rFonts w:hint="eastAsia"/>
        </w:rPr>
        <w:t xml:space="preserve">年峰值压到</w:t>
      </w:r>
      <w:r>
        <w:t xml:space="preserve"> 2021 </w:t>
      </w:r>
      <w:r>
        <w:rPr>
          <w:rFonts w:hint="eastAsia"/>
        </w:rPr>
        <w:t xml:space="preserve">年官方最大负荷</w:t>
      </w:r>
      <w:r>
        <w:t xml:space="preserve"> 17.66 </w:t>
      </w:r>
      <w:r>
        <w:rPr>
          <w:rFonts w:hint="eastAsia"/>
        </w:rPr>
        <w:t xml:space="preserve">GW、贵州压到</w:t>
      </w:r>
      <w:r>
        <w:t xml:space="preserve"> 29 </w:t>
      </w:r>
      <w:r>
        <w:rPr>
          <w:rFonts w:hint="eastAsia"/>
        </w:rPr>
        <w:t xml:space="preserve">GW（2025</w:t>
      </w:r>
      <w:r>
        <w:t xml:space="preserve"> </w:t>
      </w:r>
      <w:r>
        <w:rPr>
          <w:rFonts w:hint="eastAsia"/>
        </w:rPr>
        <w:t xml:space="preserve">年记录之下的上界，假设）并保持年度电量不变后重跑（</w:t>
      </w:r>
      <w:r>
        <w:rPr>
          <w:rStyle w:val="VerbatimChar"/>
        </w:rPr>
        <w:t xml:space="preserve">../tables/regional_2030_peak_adjusted_sensitivity.csv</w:t>
      </w:r>
      <w:r>
        <w:rPr>
          <w:rFonts w:hint="eastAsia"/>
        </w:rPr>
        <w:t xml:space="preserve">）：不允许外送、AI</w:t>
      </w:r>
      <w:r>
        <w:t xml:space="preserve"> </w:t>
      </w:r>
      <w:r>
        <w:rPr>
          <w:rFonts w:hint="eastAsia"/>
        </w:rPr>
        <w:t xml:space="preserve">占峰荷</w:t>
      </w:r>
      <w:r>
        <w:t xml:space="preserve"> 10% </w:t>
      </w:r>
      <w:r>
        <w:rPr>
          <w:rFonts w:hint="eastAsia"/>
        </w:rPr>
        <w:t xml:space="preserve">时贵州刚性到协调的差距由</w:t>
      </w:r>
      <w:r>
        <w:t xml:space="preserve"> 7.9% </w:t>
      </w:r>
      <w:r>
        <w:rPr>
          <w:rFonts w:hint="eastAsia"/>
        </w:rPr>
        <w:t xml:space="preserve">变为</w:t>
      </w:r>
      <w:r>
        <w:t xml:space="preserve"> </w:t>
      </w:r>
      <w:r>
        <w:rPr>
          <w:rFonts w:hint="eastAsia"/>
        </w:rPr>
        <w:t xml:space="preserve">5.6%，20%</w:t>
      </w:r>
      <w:r>
        <w:t xml:space="preserve"> </w:t>
      </w:r>
      <w:r>
        <w:rPr>
          <w:rFonts w:hint="eastAsia"/>
        </w:rPr>
        <w:t xml:space="preserve">时由</w:t>
      </w:r>
      <w:r>
        <w:t xml:space="preserve"> 8.4% </w:t>
      </w:r>
      <w:r>
        <w:rPr>
          <w:rFonts w:hint="eastAsia"/>
        </w:rPr>
        <w:t xml:space="preserve">变为</w:t>
      </w:r>
      <w:r>
        <w:t xml:space="preserve"> </w:t>
      </w:r>
      <w:r>
        <w:rPr>
          <w:rFonts w:hint="eastAsia"/>
        </w:rPr>
        <w:t xml:space="preserve">6.5%；甘肃由</w:t>
      </w:r>
      <w:r>
        <w:t xml:space="preserve"> 1.2% </w:t>
      </w:r>
      <w:r>
        <w:rPr>
          <w:rFonts w:hint="eastAsia"/>
        </w:rPr>
        <w:t xml:space="preserve">变为</w:t>
      </w:r>
      <w:r>
        <w:t xml:space="preserve"> </w:t>
      </w:r>
      <w:r>
        <w:rPr>
          <w:rFonts w:hint="eastAsia"/>
        </w:rPr>
        <w:t xml:space="preserve">0.9%；邻省节点下的差距几乎不变；企业面对实时价格时的差距在所有修正设定下不超过</w:t>
      </w:r>
      <w:r>
        <w:t xml:space="preserve"> </w:t>
      </w:r>
      <w:r>
        <w:rPr>
          <w:rFonts w:hint="eastAsia"/>
        </w:rPr>
        <w:t xml:space="preserve">0.69%。峰荷偏高使稀缺被高估，但方向性结论不受影响。</w:t>
      </w:r>
      <w:r>
        <w:t xml:space="preserve"> </w:t>
      </w:r>
      <w:r>
        <w:rPr>
          <w:rFonts w:hint="eastAsia"/>
          <w:b/>
          <w:bCs/>
        </w:rPr>
        <w:t xml:space="preserve">成本参数蒙特卡洛。</w:t>
      </w:r>
      <w:r>
        <w:t xml:space="preserve"> </w:t>
      </w:r>
      <w:r>
        <w:rPr>
          <w:rFonts w:hint="eastAsia"/>
        </w:rPr>
        <w:t xml:space="preserve">对不允许外送、AI</w:t>
      </w:r>
      <w:r>
        <w:t xml:space="preserve"> </w:t>
      </w:r>
      <w:r>
        <w:rPr>
          <w:rFonts w:hint="eastAsia"/>
        </w:rPr>
        <w:t xml:space="preserve">占峰荷</w:t>
      </w:r>
      <w:r>
        <w:t xml:space="preserve"> 10% </w:t>
      </w:r>
      <w:r>
        <w:rPr>
          <w:rFonts w:hint="eastAsia"/>
        </w:rPr>
        <w:t xml:space="preserve">的设定，随机抽取煤价与气价（0.7</w:t>
      </w:r>
      <w:r>
        <w:t xml:space="preserve"> </w:t>
      </w:r>
      <w:r>
        <w:rPr>
          <w:rFonts w:hint="eastAsia"/>
        </w:rPr>
        <w:t xml:space="preserve">到</w:t>
      </w:r>
      <w:r>
        <w:t xml:space="preserve"> 1.5 </w:t>
      </w:r>
      <w:r>
        <w:rPr>
          <w:rFonts w:hint="eastAsia"/>
        </w:rPr>
        <w:t xml:space="preserve">倍）、燃气、储能、风光投资成本（0.7</w:t>
      </w:r>
      <w:r>
        <w:t xml:space="preserve"> </w:t>
      </w:r>
      <w:r>
        <w:rPr>
          <w:rFonts w:hint="eastAsia"/>
        </w:rPr>
        <w:t xml:space="preserve">到</w:t>
      </w:r>
      <w:r>
        <w:t xml:space="preserve"> 1.3 </w:t>
      </w:r>
      <w:r>
        <w:rPr>
          <w:rFonts w:hint="eastAsia"/>
        </w:rPr>
        <w:t xml:space="preserve">倍）、空闲功率比例（0.15</w:t>
      </w:r>
      <w:r>
        <w:t xml:space="preserve"> </w:t>
      </w:r>
      <w:r>
        <w:rPr>
          <w:rFonts w:hint="eastAsia"/>
        </w:rPr>
        <w:t xml:space="preserve">到</w:t>
      </w:r>
      <w:r>
        <w:t xml:space="preserve"> </w:t>
      </w:r>
      <w:r>
        <w:rPr>
          <w:rFonts w:hint="eastAsia"/>
        </w:rPr>
        <w:t xml:space="preserve">0.35）与利用率（0.5</w:t>
      </w:r>
      <w:r>
        <w:t xml:space="preserve"> </w:t>
      </w:r>
      <w:r>
        <w:rPr>
          <w:rFonts w:hint="eastAsia"/>
        </w:rPr>
        <w:t xml:space="preserve">到</w:t>
      </w:r>
      <w:r>
        <w:t xml:space="preserve"> </w:t>
      </w:r>
      <w:r>
        <w:rPr>
          <w:rFonts w:hint="eastAsia"/>
        </w:rPr>
        <w:t xml:space="preserve">0.8），每省</w:t>
      </w:r>
      <w:r>
        <w:t xml:space="preserve"> 40 </w:t>
      </w:r>
      <w:r>
        <w:rPr>
          <w:rFonts w:hint="eastAsia"/>
        </w:rPr>
        <w:t xml:space="preserve">次（</w:t>
      </w:r>
      <w:r>
        <w:rPr>
          <w:rStyle w:val="VerbatimChar"/>
        </w:rPr>
        <w:t xml:space="preserve">../tables/regional_2030_cost_montecarlo.csv</w:t>
      </w:r>
      <w:r>
        <w:rPr>
          <w:rFonts w:hint="eastAsia"/>
        </w:rPr>
        <w:t xml:space="preserve">；不可行抽样</w:t>
      </w:r>
      <w:r>
        <w:t xml:space="preserve"> 9 </w:t>
      </w:r>
      <w:r>
        <w:rPr>
          <w:rFonts w:hint="eastAsia"/>
        </w:rPr>
        <w:t xml:space="preserve">次，均为利用率过高使轨迹批次超出算力池容量）。Gansu：刚性到协调差距中位数</w:t>
      </w:r>
      <w:r>
        <w:t xml:space="preserve"> </w:t>
      </w:r>
      <w:r>
        <w:rPr>
          <w:rFonts w:hint="eastAsia"/>
        </w:rPr>
        <w:t xml:space="preserve">1.9%（P10–P90</w:t>
      </w:r>
      <w:r>
        <w:t xml:space="preserve"> </w:t>
      </w:r>
      <w:r>
        <w:rPr>
          <w:rFonts w:hint="eastAsia"/>
        </w:rPr>
        <w:t xml:space="preserve">为</w:t>
      </w:r>
      <w:r>
        <w:t xml:space="preserve"> 0.9% </w:t>
      </w:r>
      <w:r>
        <w:rPr>
          <w:rFonts w:hint="eastAsia"/>
        </w:rPr>
        <w:t xml:space="preserve">到</w:t>
      </w:r>
      <w:r>
        <w:t xml:space="preserve"> </w:t>
      </w:r>
      <w:r>
        <w:rPr>
          <w:rFonts w:hint="eastAsia"/>
        </w:rPr>
        <w:t xml:space="preserve">4.8%），企业自主差距中位数</w:t>
      </w:r>
      <w:r>
        <w:t xml:space="preserve"> </w:t>
      </w:r>
      <w:r>
        <w:rPr>
          <w:rFonts w:hint="eastAsia"/>
        </w:rPr>
        <w:t xml:space="preserve">0.6%，实时价格差距</w:t>
      </w:r>
      <w:r>
        <w:t xml:space="preserve"> P90 </w:t>
      </w:r>
      <w:r>
        <w:rPr>
          <w:rFonts w:hint="eastAsia"/>
        </w:rPr>
        <w:t xml:space="preserve">为</w:t>
      </w:r>
      <w:r>
        <w:t xml:space="preserve"> </w:t>
      </w:r>
      <w:r>
        <w:rPr>
          <w:rFonts w:hint="eastAsia"/>
        </w:rPr>
        <w:t xml:space="preserve">0.40%；Jiangsu：刚性到协调差距中位数</w:t>
      </w:r>
      <w:r>
        <w:t xml:space="preserve"> </w:t>
      </w:r>
      <w:r>
        <w:rPr>
          <w:rFonts w:hint="eastAsia"/>
        </w:rPr>
        <w:t xml:space="preserve">4.4%（P10–P90</w:t>
      </w:r>
      <w:r>
        <w:t xml:space="preserve"> </w:t>
      </w:r>
      <w:r>
        <w:rPr>
          <w:rFonts w:hint="eastAsia"/>
        </w:rPr>
        <w:t xml:space="preserve">为</w:t>
      </w:r>
      <w:r>
        <w:t xml:space="preserve"> 1.4% </w:t>
      </w:r>
      <w:r>
        <w:rPr>
          <w:rFonts w:hint="eastAsia"/>
        </w:rPr>
        <w:t xml:space="preserve">到</w:t>
      </w:r>
      <w:r>
        <w:t xml:space="preserve"> </w:t>
      </w:r>
      <w:r>
        <w:rPr>
          <w:rFonts w:hint="eastAsia"/>
        </w:rPr>
        <w:t xml:space="preserve">8.0%），企业自主差距中位数</w:t>
      </w:r>
      <w:r>
        <w:t xml:space="preserve"> </w:t>
      </w:r>
      <w:r>
        <w:rPr>
          <w:rFonts w:hint="eastAsia"/>
        </w:rPr>
        <w:t xml:space="preserve">0.6%，实时价格差距</w:t>
      </w:r>
      <w:r>
        <w:t xml:space="preserve"> P90 </w:t>
      </w:r>
      <w:r>
        <w:rPr>
          <w:rFonts w:hint="eastAsia"/>
        </w:rPr>
        <w:t xml:space="preserve">为</w:t>
      </w:r>
      <w:r>
        <w:t xml:space="preserve"> </w:t>
      </w:r>
      <w:r>
        <w:rPr>
          <w:rFonts w:hint="eastAsia"/>
        </w:rPr>
        <w:t xml:space="preserve">0.59%；Guizhou：刚性到协调差距中位数</w:t>
      </w:r>
      <w:r>
        <w:t xml:space="preserve"> </w:t>
      </w:r>
      <w:r>
        <w:rPr>
          <w:rFonts w:hint="eastAsia"/>
        </w:rPr>
        <w:t xml:space="preserve">6.5%（P10–P90</w:t>
      </w:r>
      <w:r>
        <w:t xml:space="preserve"> </w:t>
      </w:r>
      <w:r>
        <w:rPr>
          <w:rFonts w:hint="eastAsia"/>
        </w:rPr>
        <w:t xml:space="preserve">为</w:t>
      </w:r>
      <w:r>
        <w:t xml:space="preserve"> 5.1% </w:t>
      </w:r>
      <w:r>
        <w:rPr>
          <w:rFonts w:hint="eastAsia"/>
        </w:rPr>
        <w:t xml:space="preserve">到</w:t>
      </w:r>
      <w:r>
        <w:t xml:space="preserve"> </w:t>
      </w:r>
      <w:r>
        <w:rPr>
          <w:rFonts w:hint="eastAsia"/>
        </w:rPr>
        <w:t xml:space="preserve">14.9%），企业自主差距中位数</w:t>
      </w:r>
      <w:r>
        <w:t xml:space="preserve"> </w:t>
      </w:r>
      <w:r>
        <w:rPr>
          <w:rFonts w:hint="eastAsia"/>
        </w:rPr>
        <w:t xml:space="preserve">3.6%，实时价格差距</w:t>
      </w:r>
      <w:r>
        <w:t xml:space="preserve"> P90 </w:t>
      </w:r>
      <w:r>
        <w:rPr>
          <w:rFonts w:hint="eastAsia"/>
        </w:rPr>
        <w:t xml:space="preserve">为</w:t>
      </w:r>
      <w:r>
        <w:t xml:space="preserve"> </w:t>
      </w:r>
      <w:r>
        <w:rPr>
          <w:rFonts w:hint="eastAsia"/>
        </w:rPr>
        <w:t xml:space="preserve">0.82%。差距的排序与”实时价格几乎弥合差距”的结论在全部抽样中保持。</w:t>
      </w:r>
    </w:p>
    <w:bookmarkEnd w:id="39"/>
    <w:bookmarkStart w:id="40" w:name="用公开替代数据补齐三项阻塞多气象年功率标定与负荷校核"/>
    <w:p>
      <w:pPr>
        <w:pStyle w:val="Heading3"/>
      </w:pPr>
      <w:r>
        <w:t xml:space="preserve">5.9 </w:t>
      </w:r>
      <w:r>
        <w:rPr>
          <w:rFonts w:hint="eastAsia"/>
        </w:rPr>
        <w:t xml:space="preserve">用公开替代数据补齐三项阻塞：多气象年、功率标定与负荷校核</w:t>
      </w:r>
    </w:p>
    <w:p>
      <w:pPr>
        <w:pStyle w:val="FirstParagraph"/>
      </w:pPr>
      <w:r>
        <w:rPr>
          <w:rFonts w:hint="eastAsia"/>
          <w:b/>
          <w:bCs/>
        </w:rPr>
        <w:t xml:space="preserve">多气象年风光曲线。</w:t>
      </w:r>
      <w:r>
        <w:t xml:space="preserve"> </w:t>
      </w:r>
      <w:r>
        <w:rPr>
          <w:rFonts w:hint="eastAsia"/>
        </w:rPr>
        <w:t xml:space="preserve">机构气象数据与需注册的接口无法取得，改用</w:t>
      </w:r>
      <w:r>
        <w:t xml:space="preserve"> Open-Meteo </w:t>
      </w:r>
      <w:r>
        <w:rPr>
          <w:rFonts w:hint="eastAsia"/>
        </w:rPr>
        <w:t xml:space="preserve">的</w:t>
      </w:r>
      <w:r>
        <w:t xml:space="preserve"> ERA5 </w:t>
      </w:r>
      <w:r>
        <w:rPr>
          <w:rFonts w:hint="eastAsia"/>
        </w:rPr>
        <w:t xml:space="preserve">历史接口（免费、无需注册，D19），按</w:t>
      </w:r>
      <w:r>
        <w:t xml:space="preserve"> GEM </w:t>
      </w:r>
      <w:r>
        <w:rPr>
          <w:rFonts w:hint="eastAsia"/>
        </w:rPr>
        <w:t xml:space="preserve">电站坐标取三省各技术装机最大的</w:t>
      </w:r>
      <w:r>
        <w:t xml:space="preserve"> 8 </w:t>
      </w:r>
      <w:r>
        <w:rPr>
          <w:rFonts w:hint="eastAsia"/>
        </w:rPr>
        <w:t xml:space="preserve">个站点，拉取</w:t>
      </w:r>
      <w:r>
        <w:t xml:space="preserve"> 2015 </w:t>
      </w:r>
      <w:r>
        <w:rPr>
          <w:rFonts w:hint="eastAsia"/>
        </w:rPr>
        <w:t xml:space="preserve">到</w:t>
      </w:r>
      <w:r>
        <w:t xml:space="preserve"> 2024 </w:t>
      </w:r>
      <w:r>
        <w:rPr>
          <w:rFonts w:hint="eastAsia"/>
        </w:rPr>
        <w:t xml:space="preserve">年逐时</w:t>
      </w:r>
      <w:r>
        <w:t xml:space="preserve"> 100 </w:t>
      </w:r>
      <w:r>
        <w:rPr>
          <w:rFonts w:hint="eastAsia"/>
        </w:rPr>
        <w:t xml:space="preserve">米风速、总辐射与气温，用通用功率曲线和辐照度模型转换为容量因子，按装机加权后把</w:t>
      </w:r>
      <w:r>
        <w:t xml:space="preserve"> 2020 </w:t>
      </w:r>
      <w:r>
        <w:rPr>
          <w:rFonts w:hint="eastAsia"/>
        </w:rPr>
        <w:t xml:space="preserve">年均值缩放到归档水平（</w:t>
      </w:r>
      <w:r>
        <w:rPr>
          <w:rStyle w:val="VerbatimChar"/>
        </w:rPr>
        <w:t xml:space="preserve">../tables/multiyear_re_profiles_audit.json</w:t>
      </w:r>
      <w:r>
        <w:rPr>
          <w:rFonts w:hint="eastAsia"/>
        </w:rPr>
        <w:t xml:space="preserve">）。与归档</w:t>
      </w:r>
      <w:r>
        <w:t xml:space="preserve"> 2020 </w:t>
      </w:r>
      <w:r>
        <w:rPr>
          <w:rFonts w:hint="eastAsia"/>
        </w:rPr>
        <w:t xml:space="preserve">年逐时曲线的相关系数：江苏光伏</w:t>
      </w:r>
      <w:r>
        <w:t xml:space="preserve"> </w:t>
      </w:r>
      <w:r>
        <w:rPr>
          <w:rFonts w:hint="eastAsia"/>
        </w:rPr>
        <w:t xml:space="preserve">0.97、风电</w:t>
      </w:r>
      <w:r>
        <w:t xml:space="preserve"> </w:t>
      </w:r>
      <w:r>
        <w:rPr>
          <w:rFonts w:hint="eastAsia"/>
        </w:rPr>
        <w:t xml:space="preserve">0.80；贵州光伏</w:t>
      </w:r>
      <w:r>
        <w:t xml:space="preserve"> </w:t>
      </w:r>
      <w:r>
        <w:rPr>
          <w:rFonts w:hint="eastAsia"/>
        </w:rPr>
        <w:t xml:space="preserve">0.96、风电</w:t>
      </w:r>
      <w:r>
        <w:t xml:space="preserve"> </w:t>
      </w:r>
      <w:r>
        <w:rPr>
          <w:rFonts w:hint="eastAsia"/>
        </w:rPr>
        <w:t xml:space="preserve">0.95；甘肃光伏</w:t>
      </w:r>
      <w:r>
        <w:t xml:space="preserve"> </w:t>
      </w:r>
      <w:r>
        <w:rPr>
          <w:rFonts w:hint="eastAsia"/>
        </w:rPr>
        <w:t xml:space="preserve">0.94、风电仅</w:t>
      </w:r>
      <w:r>
        <w:t xml:space="preserve"> </w:t>
      </w:r>
      <w:r>
        <w:rPr>
          <w:rFonts w:hint="eastAsia"/>
        </w:rPr>
        <w:t xml:space="preserve">0.66（各技术取装机最大的</w:t>
      </w:r>
      <w:r>
        <w:t xml:space="preserve"> 20 </w:t>
      </w:r>
      <w:r>
        <w:rPr>
          <w:rFonts w:hint="eastAsia"/>
        </w:rPr>
        <w:t xml:space="preserve">个站点）。用这十个气象年重跑不允许外送、AI</w:t>
      </w:r>
      <w:r>
        <w:t xml:space="preserve"> </w:t>
      </w:r>
      <w:r>
        <w:rPr>
          <w:rFonts w:hint="eastAsia"/>
        </w:rPr>
        <w:t xml:space="preserve">占峰荷</w:t>
      </w:r>
      <w:r>
        <w:t xml:space="preserve"> 10% </w:t>
      </w:r>
      <w:r>
        <w:rPr>
          <w:rFonts w:hint="eastAsia"/>
        </w:rPr>
        <w:t xml:space="preserve">的</w:t>
      </w:r>
      <w:r>
        <w:t xml:space="preserve"> 2030 </w:t>
      </w:r>
      <w:r>
        <w:rPr>
          <w:rFonts w:hint="eastAsia"/>
        </w:rPr>
        <w:t xml:space="preserve">情景（</w:t>
      </w:r>
      <w:r>
        <w:rPr>
          <w:rStyle w:val="VerbatimChar"/>
        </w:rPr>
        <w:t xml:space="preserve">../tables/regional_2030_multiweather.csv</w:t>
      </w:r>
      <w:r>
        <w:rPr>
          <w:rFonts w:hint="eastAsia"/>
        </w:rPr>
        <w:t xml:space="preserve">）：刚性到协调的差距甘肃为</w:t>
      </w:r>
      <w:r>
        <w:t xml:space="preserve"> 1.3% </w:t>
      </w:r>
      <w:r>
        <w:rPr>
          <w:rFonts w:hint="eastAsia"/>
        </w:rPr>
        <w:t xml:space="preserve">到</w:t>
      </w:r>
      <w:r>
        <w:t xml:space="preserve"> </w:t>
      </w:r>
      <w:r>
        <w:rPr>
          <w:rFonts w:hint="eastAsia"/>
        </w:rPr>
        <w:t xml:space="preserve">4.8%（中位数</w:t>
      </w:r>
      <w:r>
        <w:t xml:space="preserve"> </w:t>
      </w:r>
      <w:r>
        <w:rPr>
          <w:rFonts w:hint="eastAsia"/>
        </w:rPr>
        <w:t xml:space="preserve">2.8%），江苏为</w:t>
      </w:r>
      <w:r>
        <w:t xml:space="preserve"> 1.7% </w:t>
      </w:r>
      <w:r>
        <w:rPr>
          <w:rFonts w:hint="eastAsia"/>
        </w:rPr>
        <w:t xml:space="preserve">到</w:t>
      </w:r>
      <w:r>
        <w:t xml:space="preserve"> </w:t>
      </w:r>
      <w:r>
        <w:rPr>
          <w:rFonts w:hint="eastAsia"/>
        </w:rPr>
        <w:t xml:space="preserve">3.9%（中位数</w:t>
      </w:r>
      <w:r>
        <w:t xml:space="preserve"> </w:t>
      </w:r>
      <w:r>
        <w:rPr>
          <w:rFonts w:hint="eastAsia"/>
        </w:rPr>
        <w:t xml:space="preserve">2.5%），贵州为</w:t>
      </w:r>
      <w:r>
        <w:t xml:space="preserve"> 5.1% </w:t>
      </w:r>
      <w:r>
        <w:rPr>
          <w:rFonts w:hint="eastAsia"/>
        </w:rPr>
        <w:t xml:space="preserve">到</w:t>
      </w:r>
      <w:r>
        <w:t xml:space="preserve"> </w:t>
      </w:r>
      <w:r>
        <w:rPr>
          <w:rFonts w:hint="eastAsia"/>
        </w:rPr>
        <w:t xml:space="preserve">8.7%（中位数</w:t>
      </w:r>
      <w:r>
        <w:t xml:space="preserve"> </w:t>
      </w:r>
      <w:r>
        <w:rPr>
          <w:rFonts w:hint="eastAsia"/>
        </w:rPr>
        <w:t xml:space="preserve">7.0%）；企业面对实时价格的差距在全部年份不超过</w:t>
      </w:r>
      <w:r>
        <w:t xml:space="preserve"> </w:t>
      </w:r>
      <w:r>
        <w:rPr>
          <w:rFonts w:hint="eastAsia"/>
        </w:rPr>
        <w:t xml:space="preserve">0.61%。气象年改变差距的幅度，但不改变省份排序与机制结论。水电与负荷形状仍为单一年份，是剩余局限。</w:t>
      </w:r>
    </w:p>
    <w:p>
      <w:pPr>
        <w:pStyle w:val="BodyText"/>
      </w:pPr>
      <w:r>
        <w:rPr>
          <w:rFonts w:hint="eastAsia"/>
          <w:b/>
          <w:bCs/>
        </w:rPr>
        <w:t xml:space="preserve">节点级功率标定。</w:t>
      </w:r>
      <w:r>
        <w:t xml:space="preserve"> </w:t>
      </w:r>
      <w:r>
        <w:rPr>
          <w:rFonts w:hint="eastAsia"/>
        </w:rPr>
        <w:t xml:space="preserve">无授权集群功率遥测，改用</w:t>
      </w:r>
      <w:r>
        <w:t xml:space="preserve"> MLCommons </w:t>
      </w:r>
      <w:r>
        <w:rPr>
          <w:rFonts w:hint="eastAsia"/>
        </w:rPr>
        <w:t xml:space="preserve">公开的</w:t>
      </w:r>
      <w:r>
        <w:t xml:space="preserve"> MLPerf Training v4.0 </w:t>
      </w:r>
      <w:r>
        <w:rPr>
          <w:rFonts w:hint="eastAsia"/>
        </w:rPr>
        <w:t xml:space="preserve">交流功率日志（D18，Supermicro</w:t>
      </w:r>
      <w:r>
        <w:t xml:space="preserve"> 8×H100 </w:t>
      </w:r>
      <w:r>
        <w:rPr>
          <w:rFonts w:hint="eastAsia"/>
        </w:rPr>
        <w:t xml:space="preserve">节点，约</w:t>
      </w:r>
      <w:r>
        <w:t xml:space="preserve"> 2 </w:t>
      </w:r>
      <w:r>
        <w:rPr>
          <w:rFonts w:hint="eastAsia"/>
        </w:rPr>
        <w:t xml:space="preserve">秒一读）。三个基准下节点空闲功率占峰值</w:t>
      </w:r>
      <w:r>
        <w:t xml:space="preserve"> 35% </w:t>
      </w:r>
      <w:r>
        <w:rPr>
          <w:rFonts w:hint="eastAsia"/>
        </w:rPr>
        <w:t xml:space="preserve">到</w:t>
      </w:r>
      <w:r>
        <w:t xml:space="preserve"> </w:t>
      </w:r>
      <w:r>
        <w:rPr>
          <w:rFonts w:hint="eastAsia"/>
        </w:rPr>
        <w:t xml:space="preserve">41%（llama2-70b</w:t>
      </w:r>
      <w:r>
        <w:t xml:space="preserve"> LoRA </w:t>
      </w:r>
      <w:r>
        <w:rPr>
          <w:rFonts w:hint="eastAsia"/>
        </w:rPr>
        <w:t xml:space="preserve">微调为</w:t>
      </w:r>
      <w:r>
        <w:t xml:space="preserve"> </w:t>
      </w:r>
      <w:r>
        <w:rPr>
          <w:rFonts w:hint="eastAsia"/>
        </w:rPr>
        <w:t xml:space="preserve">41%，满载约</w:t>
      </w:r>
      <w:r>
        <w:t xml:space="preserve"> 6.2 </w:t>
      </w:r>
      <w:r>
        <w:rPr>
          <w:rFonts w:hint="eastAsia"/>
        </w:rPr>
        <w:t xml:space="preserve">kW），高于此前假设的</w:t>
      </w:r>
      <w:r>
        <w:t xml:space="preserve"> </w:t>
      </w:r>
      <w:r>
        <w:rPr>
          <w:rFonts w:hint="eastAsia"/>
        </w:rPr>
        <w:t xml:space="preserve">25%。以</w:t>
      </w:r>
      <w:r>
        <w:t xml:space="preserve"> 41% </w:t>
      </w:r>
      <w:r>
        <w:rPr>
          <w:rFonts w:hint="eastAsia"/>
        </w:rPr>
        <w:t xml:space="preserve">重跑多气象年：甘肃差距</w:t>
      </w:r>
      <w:r>
        <w:t xml:space="preserve"> 1.0% </w:t>
      </w:r>
      <w:r>
        <w:rPr>
          <w:rFonts w:hint="eastAsia"/>
        </w:rPr>
        <w:t xml:space="preserve">到</w:t>
      </w:r>
      <w:r>
        <w:t xml:space="preserve"> </w:t>
      </w:r>
      <w:r>
        <w:rPr>
          <w:rFonts w:hint="eastAsia"/>
        </w:rPr>
        <w:t xml:space="preserve">3.4%（中位数</w:t>
      </w:r>
      <w:r>
        <w:t xml:space="preserve"> </w:t>
      </w:r>
      <w:r>
        <w:rPr>
          <w:rFonts w:hint="eastAsia"/>
        </w:rPr>
        <w:t xml:space="preserve">2.1%），江苏</w:t>
      </w:r>
      <w:r>
        <w:t xml:space="preserve"> 1.6% </w:t>
      </w:r>
      <w:r>
        <w:rPr>
          <w:rFonts w:hint="eastAsia"/>
        </w:rPr>
        <w:t xml:space="preserve">到</w:t>
      </w:r>
      <w:r>
        <w:t xml:space="preserve"> </w:t>
      </w:r>
      <w:r>
        <w:rPr>
          <w:rFonts w:hint="eastAsia"/>
        </w:rPr>
        <w:t xml:space="preserve">3.5%（中位数</w:t>
      </w:r>
      <w:r>
        <w:t xml:space="preserve"> </w:t>
      </w:r>
      <w:r>
        <w:rPr>
          <w:rFonts w:hint="eastAsia"/>
        </w:rPr>
        <w:t xml:space="preserve">2.2%），贵州</w:t>
      </w:r>
      <w:r>
        <w:t xml:space="preserve"> 3.7% </w:t>
      </w:r>
      <w:r>
        <w:rPr>
          <w:rFonts w:hint="eastAsia"/>
        </w:rPr>
        <w:t xml:space="preserve">到</w:t>
      </w:r>
      <w:r>
        <w:t xml:space="preserve"> </w:t>
      </w:r>
      <w:r>
        <w:rPr>
          <w:rFonts w:hint="eastAsia"/>
        </w:rPr>
        <w:t xml:space="preserve">5.9%（中位数</w:t>
      </w:r>
      <w:r>
        <w:t xml:space="preserve"> </w:t>
      </w:r>
      <w:r>
        <w:rPr>
          <w:rFonts w:hint="eastAsia"/>
        </w:rPr>
        <w:t xml:space="preserve">5.6%）。空闲功率越高，降频与转移能改变的功率份额越小，差距相应收窄，但排序不变。</w:t>
      </w:r>
    </w:p>
    <w:p>
      <w:pPr>
        <w:pStyle w:val="BodyText"/>
      </w:pPr>
      <w:r>
        <w:rPr>
          <w:rFonts w:hint="eastAsia"/>
          <w:b/>
          <w:bCs/>
        </w:rPr>
        <w:t xml:space="preserve">负荷校核。</w:t>
      </w:r>
      <w:r>
        <w:t xml:space="preserve"> </w:t>
      </w:r>
      <w:r>
        <w:rPr>
          <w:rFonts w:hint="eastAsia"/>
        </w:rPr>
        <w:t xml:space="preserve">逐时实测负荷无公开来源；现货试点省份的披露平台需登录。已完成的替代是峰荷公开报道校核（5.7</w:t>
      </w:r>
      <w:r>
        <w:t xml:space="preserve"> </w:t>
      </w:r>
      <w:r>
        <w:rPr>
          <w:rFonts w:hint="eastAsia"/>
        </w:rPr>
        <w:t xml:space="preserve">节前的补充）与峰荷修正敏感性。后续可再用各省月度用电量校核季节形状。</w:t>
      </w:r>
    </w:p>
    <w:bookmarkEnd w:id="40"/>
    <w:bookmarkStart w:id="41" w:name="机制-v2连续价格信号与事件合同的比较"/>
    <w:p>
      <w:pPr>
        <w:pStyle w:val="Heading3"/>
      </w:pPr>
      <w:r>
        <w:t xml:space="preserve">5.10 </w:t>
      </w:r>
      <w:r>
        <w:rPr>
          <w:rFonts w:hint="eastAsia"/>
        </w:rPr>
        <w:t xml:space="preserve">机制</w:t>
      </w:r>
      <w:r>
        <w:t xml:space="preserve"> </w:t>
      </w:r>
      <w:r>
        <w:rPr>
          <w:rFonts w:hint="eastAsia"/>
        </w:rPr>
        <w:t xml:space="preserve">v2：连续价格信号与事件合同的比较</w:t>
      </w:r>
    </w:p>
    <w:p>
      <w:pPr>
        <w:pStyle w:val="FirstParagraph"/>
      </w:pPr>
      <w:r>
        <w:rPr>
          <w:rFonts w:hint="eastAsia"/>
        </w:rPr>
        <w:t xml:space="preserve">在相同任务、相同可靠性下比较两种结算设计（</w:t>
      </w:r>
      <w:r>
        <w:rPr>
          <w:rStyle w:val="VerbatimChar"/>
        </w:rPr>
        <w:t xml:space="preserve">../tables/mechanism_v2_summary.csv</w:t>
      </w:r>
      <w:r>
        <w:rPr>
          <w:rFonts w:hint="eastAsia"/>
        </w:rPr>
        <w:t xml:space="preserve">，</w:t>
      </w:r>
      <w:r>
        <w:rPr>
          <w:rStyle w:val="VerbatimChar"/>
        </w:rPr>
        <w:t xml:space="preserve">../tables/mechanism_v2_baseline_manipulation.csv</w:t>
      </w:r>
      <w:r>
        <w:rPr>
          <w:rFonts w:hint="eastAsia"/>
        </w:rPr>
        <w:t xml:space="preserve">）。事件型承诺合同相对企业自主运行的系统节省在贵州为每代表周</w:t>
      </w:r>
      <w:r>
        <w:t xml:space="preserve"> 1.3 </w:t>
      </w:r>
      <w:r>
        <w:rPr>
          <w:rFonts w:hint="eastAsia"/>
        </w:rPr>
        <w:t xml:space="preserve">千欧元，在甘肃与江苏为零，而贵州的补偿下限为</w:t>
      </w:r>
      <w:r>
        <w:t xml:space="preserve"> 12.6 </w:t>
      </w:r>
      <w:r>
        <w:rPr>
          <w:rFonts w:hint="eastAsia"/>
        </w:rPr>
        <w:t xml:space="preserve">千欧元；它还暴露于基线操纵：若结算基线取全速运行而非企业自身的电价最优调度，贵州夏季周事件小时的”削减量”会平均虚增</w:t>
      </w:r>
      <w:r>
        <w:t xml:space="preserve"> 614 </w:t>
      </w:r>
      <w:r>
        <w:rPr>
          <w:rFonts w:hint="eastAsia"/>
        </w:rPr>
        <w:t xml:space="preserve">MW，而实际交付的灵活性没有任何变化。以系统边际成本形状为逐时价格、按计量电量结算而无需基线的连续信号，相对现行电价下的自主运行每代表周节省甘肃</w:t>
      </w:r>
      <w:r>
        <w:t xml:space="preserve"> </w:t>
      </w:r>
      <w:r>
        <w:rPr>
          <w:rFonts w:hint="eastAsia"/>
        </w:rPr>
        <w:t xml:space="preserve">84、江苏</w:t>
      </w:r>
      <w:r>
        <w:t xml:space="preserve"> </w:t>
      </w:r>
      <w:r>
        <w:rPr>
          <w:rFonts w:hint="eastAsia"/>
        </w:rPr>
        <w:t xml:space="preserve">677、贵州</w:t>
      </w:r>
      <w:r>
        <w:t xml:space="preserve"> 180 </w:t>
      </w:r>
      <w:r>
        <w:rPr>
          <w:rFonts w:hint="eastAsia"/>
        </w:rPr>
        <w:t xml:space="preserve">千欧元，距协调最优只剩增量成本的</w:t>
      </w:r>
      <w:r>
        <w:t xml:space="preserve"> 0.1%、0.2% </w:t>
      </w:r>
      <w:r>
        <w:rPr>
          <w:rFonts w:hint="eastAsia"/>
        </w:rPr>
        <w:t xml:space="preserve">和</w:t>
      </w:r>
      <w:r>
        <w:t xml:space="preserve"> </w:t>
      </w:r>
      <w:r>
        <w:rPr>
          <w:rFonts w:hint="eastAsia"/>
        </w:rPr>
        <w:t xml:space="preserve">0.6%；因为没有基线，也就没有操纵租金。剩余设计问题是输电与充裕性成本的传导，以及在秒级服务约束下运行的实时推理如何纳入</w:t>
      </w:r>
      <w:r>
        <w:t xml:space="preserve"> [13]。</w:t>
      </w:r>
    </w:p>
    <w:bookmarkEnd w:id="41"/>
    <w:bookmarkEnd w:id="42"/>
    <w:bookmarkStart w:id="44" w:name="讨论与当前局限"/>
    <w:p>
      <w:pPr>
        <w:pStyle w:val="Heading2"/>
      </w:pPr>
      <w:r>
        <w:t xml:space="preserve">6. </w:t>
      </w:r>
      <w:r>
        <w:rPr>
          <w:rFonts w:hint="eastAsia"/>
        </w:rPr>
        <w:t xml:space="preserve">讨论与当前局限</w:t>
      </w:r>
    </w:p>
    <w:p>
      <w:pPr>
        <w:pStyle w:val="FirstParagraph"/>
      </w:pPr>
      <w:r>
        <w:rPr>
          <w:rFonts w:hint="eastAsia"/>
        </w:rPr>
        <w:t xml:space="preserve">现有证据支持把任务服务条件显式纳入计算功率响应，但尚不足以证明由此产生的系统差异在中国具有经济显著性。公开</w:t>
      </w:r>
      <w:r>
        <w:t xml:space="preserve"> GPU </w:t>
      </w:r>
      <w:r>
        <w:rPr>
          <w:rFonts w:hint="eastAsia"/>
        </w:rPr>
        <w:t xml:space="preserve">参数、公开请求轨迹和中国地区负荷并非来自同一系统，连接它们需要明确的迁移假设与验证；例如不同语言模型的</w:t>
      </w:r>
      <w:r>
        <w:t xml:space="preserve"> token </w:t>
      </w:r>
      <w:r>
        <w:rPr>
          <w:rFonts w:hint="eastAsia"/>
        </w:rPr>
        <w:t xml:space="preserve">工作量不可直接相加为同一种硬件上的计算量。</w:t>
      </w:r>
    </w:p>
    <w:p>
      <w:pPr>
        <w:pStyle w:val="BodyText"/>
      </w:pPr>
      <w:r>
        <w:rPr>
          <w:rFonts w:hint="eastAsia"/>
        </w:rPr>
        <w:t xml:space="preserve">全国输入存在年份和空间口径问题，且部分输电条目的可靠性未解决。负荷序列同源一致性不能替代统计回测。未来负荷规模、空闲容量、期限、迁移资格和企业成本的不确定性都应单独表达。</w:t>
      </w:r>
    </w:p>
    <w:p>
      <w:pPr>
        <w:pStyle w:val="BodyText"/>
      </w:pPr>
      <w:r>
        <w:rPr>
          <w:rFonts w:hint="eastAsia"/>
        </w:rPr>
        <w:t xml:space="preserve">企业承诺成本模型目前包括运行电费与可指定的服务成本；联合系统模型另已纳入发电、储能和输电投资运行成本。检查点、任务迁移、额外服务器和风险成本仍待加入，企业价格也尚未与电网模型形成内生均衡反馈。2020</w:t>
      </w:r>
      <w:r>
        <w:t xml:space="preserve"> </w:t>
      </w:r>
      <w:r>
        <w:rPr>
          <w:rFonts w:hint="eastAsia"/>
        </w:rPr>
        <w:t xml:space="preserve">年归档仅用于模型复现与输入审计，后续仍需更新并验证正式基年。</w:t>
      </w:r>
    </w:p>
    <w:p>
      <w:pPr>
        <w:pStyle w:val="BodyText"/>
      </w:pPr>
      <w:r>
        <w:rPr>
          <w:rFonts w:hint="eastAsia"/>
        </w:rPr>
        <w:t xml:space="preserve">本稿尚不支持“灵活性必然减排”“不需要新增火电”“某省应优先布局算力”或“某项补偿机制最优”等结论。下一版须将已审计的实际请求轨迹连接到经校准的工作量与服务要求，完成任务级验证，再进入地区级系统比较。</w:t>
      </w:r>
    </w:p>
    <w:bookmarkStart w:id="43" w:name="情景后的判断"/>
    <w:p>
      <w:pPr>
        <w:pStyle w:val="Heading3"/>
      </w:pPr>
      <w:r>
        <w:t xml:space="preserve">6.1 2030 </w:t>
      </w:r>
      <w:r>
        <w:rPr>
          <w:rFonts w:hint="eastAsia"/>
        </w:rPr>
        <w:t xml:space="preserve">情景后的判断</w:t>
      </w:r>
    </w:p>
    <w:p>
      <w:pPr>
        <w:pStyle w:val="FirstParagraph"/>
      </w:pPr>
      <w:r>
        <w:rPr>
          <w:rFonts w:hint="eastAsia"/>
        </w:rPr>
        <w:t xml:space="preserve">公开数据已足以支撑一个方向性的结论链：AI</w:t>
      </w:r>
      <w:r>
        <w:t xml:space="preserve"> </w:t>
      </w:r>
      <w:r>
        <w:rPr>
          <w:rFonts w:hint="eastAsia"/>
        </w:rPr>
        <w:t xml:space="preserve">负荷灵活性的系统价值取决于本地稀缺（零边际小时、容量紧缺、外送受限）而非灵活性参数本身；企业在现行分时电价下兑现的比例可以很低甚至为负；事件型承诺机制不能替代连续协调，而系统实时价格形状几乎可以完全弥合差距。要把这一链条变成可发表的实证结论，还需要：经独立验证的逐时负荷或峰荷；替代外部市场代理的多省耦合网络；机组级启停约束；多气象年与故障样本下的可靠性检验；以及以系统对偶价格定义稀缺的第二版机制。</w:t>
      </w:r>
    </w:p>
    <w:bookmarkEnd w:id="43"/>
    <w:bookmarkEnd w:id="44"/>
    <w:bookmarkStart w:id="74" w:name="参考来源"/>
    <w:p>
      <w:pPr>
        <w:pStyle w:val="Heading2"/>
      </w:pPr>
      <w:r>
        <w:rPr>
          <w:rFonts w:hint="eastAsia"/>
        </w:rPr>
        <w:t xml:space="preserve">参考来源</w:t>
      </w:r>
    </w:p>
    <w:p>
      <w:pPr>
        <w:pStyle w:val="Compact"/>
        <w:numPr>
          <w:ilvl w:val="0"/>
          <w:numId w:val="1002"/>
        </w:numPr>
      </w:pPr>
      <w:r>
        <w:t xml:space="preserve">Colangelo </w:t>
      </w:r>
      <w:r>
        <w:rPr>
          <w:rFonts w:hint="eastAsia"/>
        </w:rPr>
        <w:t xml:space="preserve">等，AI</w:t>
      </w:r>
      <w:r>
        <w:t xml:space="preserve"> data centres as grid-interactive </w:t>
      </w:r>
      <w:r>
        <w:rPr>
          <w:rFonts w:hint="eastAsia"/>
        </w:rPr>
        <w:t xml:space="preserve">assets，</w:t>
      </w:r>
      <w:hyperlink r:id="rId45">
        <w:r>
          <w:rPr>
            <w:rStyle w:val="Hyperlink"/>
            <w:rFonts w:hint="eastAsia"/>
          </w:rPr>
          <w:t xml:space="preserve">论文</w:t>
        </w:r>
      </w:hyperlink>
      <w:r>
        <w:rPr>
          <w:rFonts w:hint="eastAsia"/>
        </w:rPr>
        <w:t xml:space="preserve">，</w:t>
      </w:r>
      <w:hyperlink r:id="rId46">
        <w:r>
          <w:rPr>
            <w:rStyle w:val="Hyperlink"/>
            <w:rFonts w:hint="eastAsia"/>
          </w:rPr>
          <w:t xml:space="preserve">公开数据</w:t>
        </w:r>
      </w:hyperlink>
      <w:r>
        <w:t xml:space="preserve">。</w:t>
      </w:r>
    </w:p>
    <w:p>
      <w:pPr>
        <w:pStyle w:val="Compact"/>
        <w:numPr>
          <w:ilvl w:val="0"/>
          <w:numId w:val="1002"/>
        </w:numPr>
      </w:pPr>
      <w:r>
        <w:t xml:space="preserve">Zhang </w:t>
      </w:r>
      <w:r>
        <w:rPr>
          <w:rFonts w:hint="eastAsia"/>
        </w:rPr>
        <w:t xml:space="preserve">与</w:t>
      </w:r>
      <w:r>
        <w:t xml:space="preserve"> </w:t>
      </w:r>
      <w:r>
        <w:rPr>
          <w:rFonts w:hint="eastAsia"/>
        </w:rPr>
        <w:t xml:space="preserve">Zavala，Remunerating</w:t>
      </w:r>
      <w:r>
        <w:t xml:space="preserve"> space–time, load-shifting flexibility from data centers in electricity </w:t>
      </w:r>
      <w:r>
        <w:rPr>
          <w:rFonts w:hint="eastAsia"/>
        </w:rPr>
        <w:t xml:space="preserve">markets，Applied</w:t>
      </w:r>
      <w:r>
        <w:t xml:space="preserve"> Energy 326 </w:t>
      </w:r>
      <w:r>
        <w:rPr>
          <w:rFonts w:hint="eastAsia"/>
        </w:rPr>
        <w:t xml:space="preserve">(2022)，</w:t>
      </w:r>
      <w:hyperlink r:id="rId47">
        <w:r>
          <w:rPr>
            <w:rStyle w:val="Hyperlink"/>
            <w:rFonts w:hint="eastAsia"/>
          </w:rPr>
          <w:t xml:space="preserve">全文</w:t>
        </w:r>
      </w:hyperlink>
      <w:r>
        <w:t xml:space="preserve">。</w:t>
      </w:r>
    </w:p>
    <w:p>
      <w:pPr>
        <w:pStyle w:val="Compact"/>
        <w:numPr>
          <w:ilvl w:val="0"/>
          <w:numId w:val="1002"/>
        </w:numPr>
      </w:pPr>
      <w:r>
        <w:t xml:space="preserve">Knittel、Senga </w:t>
      </w:r>
      <w:r>
        <w:rPr>
          <w:rFonts w:hint="eastAsia"/>
        </w:rPr>
        <w:t xml:space="preserve">与</w:t>
      </w:r>
      <w:r>
        <w:t xml:space="preserve"> </w:t>
      </w:r>
      <w:r>
        <w:rPr>
          <w:rFonts w:hint="eastAsia"/>
        </w:rPr>
        <w:t xml:space="preserve">Wang，Flexible</w:t>
      </w:r>
      <w:r>
        <w:t xml:space="preserve"> Data Centers and the Grid: Lower Costs, Higher </w:t>
      </w:r>
      <w:r>
        <w:rPr>
          <w:rFonts w:hint="eastAsia"/>
        </w:rPr>
        <w:t xml:space="preserve">Emissions?，MIT</w:t>
      </w:r>
      <w:r>
        <w:t xml:space="preserve"> CEEPR WP </w:t>
      </w:r>
      <w:r>
        <w:rPr>
          <w:rFonts w:hint="eastAsia"/>
        </w:rPr>
        <w:t xml:space="preserve">2025-14，</w:t>
      </w:r>
      <w:hyperlink r:id="rId48">
        <w:r>
          <w:rPr>
            <w:rStyle w:val="Hyperlink"/>
            <w:rFonts w:hint="eastAsia"/>
          </w:rPr>
          <w:t xml:space="preserve">工作论文</w:t>
        </w:r>
      </w:hyperlink>
      <w:r>
        <w:rPr>
          <w:rFonts w:hint="eastAsia"/>
        </w:rPr>
        <w:t xml:space="preserve">。后续期刊版本应在定稿时逐式核对。</w:t>
      </w:r>
    </w:p>
    <w:p>
      <w:pPr>
        <w:pStyle w:val="Compact"/>
        <w:numPr>
          <w:ilvl w:val="0"/>
          <w:numId w:val="1002"/>
        </w:numPr>
      </w:pPr>
      <w:r>
        <w:t xml:space="preserve">Zhang、Li </w:t>
      </w:r>
      <w:r>
        <w:rPr>
          <w:rFonts w:hint="eastAsia"/>
        </w:rPr>
        <w:t xml:space="preserve">与</w:t>
      </w:r>
      <w:r>
        <w:t xml:space="preserve"> </w:t>
      </w:r>
      <w:r>
        <w:rPr>
          <w:rFonts w:hint="eastAsia"/>
        </w:rPr>
        <w:t xml:space="preserve">Wang，Decarbonizing</w:t>
      </w:r>
      <w:r>
        <w:t xml:space="preserve"> data centers through regional bits </w:t>
      </w:r>
      <w:r>
        <w:rPr>
          <w:rFonts w:hint="eastAsia"/>
        </w:rPr>
        <w:t xml:space="preserve">migration，Applied</w:t>
      </w:r>
      <w:r>
        <w:t xml:space="preserve"> Energy 392 (2025), </w:t>
      </w:r>
      <w:r>
        <w:rPr>
          <w:rFonts w:hint="eastAsia"/>
        </w:rPr>
        <w:t xml:space="preserve">126020，</w:t>
      </w:r>
      <w:hyperlink r:id="rId49">
        <w:r>
          <w:rPr>
            <w:rStyle w:val="Hyperlink"/>
            <w:rFonts w:hint="eastAsia"/>
          </w:rPr>
          <w:t xml:space="preserve">大学存档</w:t>
        </w:r>
      </w:hyperlink>
      <w:r>
        <w:t xml:space="preserve">。</w:t>
      </w:r>
    </w:p>
    <w:p>
      <w:pPr>
        <w:pStyle w:val="Compact"/>
        <w:numPr>
          <w:ilvl w:val="0"/>
          <w:numId w:val="1002"/>
        </w:numPr>
      </w:pPr>
      <w:r>
        <w:t xml:space="preserve">Dunlap </w:t>
      </w:r>
      <w:r>
        <w:rPr>
          <w:rFonts w:hint="eastAsia"/>
        </w:rPr>
        <w:t xml:space="preserve">等，Quantifying</w:t>
      </w:r>
      <w:r>
        <w:t xml:space="preserve"> AI data center flexibility as a resource adequacy </w:t>
      </w:r>
      <w:r>
        <w:rPr>
          <w:rFonts w:hint="eastAsia"/>
        </w:rPr>
        <w:t xml:space="preserve">asset，公开作者稿与预印本资料，</w:t>
      </w:r>
      <w:hyperlink r:id="rId50">
        <w:r>
          <w:rPr>
            <w:rStyle w:val="Hyperlink"/>
            <w:rFonts w:hint="eastAsia"/>
          </w:rPr>
          <w:t xml:space="preserve">作者仓库</w:t>
        </w:r>
      </w:hyperlink>
      <w:r>
        <w:rPr>
          <w:rFonts w:hint="eastAsia"/>
        </w:rPr>
        <w:t xml:space="preserve">，固定版本</w:t>
      </w:r>
      <w:r>
        <w:t xml:space="preserve"> </w:t>
      </w:r>
      <w:r>
        <w:rPr>
          <w:rStyle w:val="VerbatimChar"/>
        </w:rPr>
        <w:t xml:space="preserve">c2839ae9404b5cad8699e88dfa8f74685520a917</w:t>
      </w:r>
      <w:r>
        <w:rPr>
          <w:rFonts w:hint="eastAsia"/>
        </w:rPr>
        <w:t xml:space="preserve">。不将作者稿文件名中的目标期刊解释为已发表。</w:t>
      </w:r>
    </w:p>
    <w:p>
      <w:pPr>
        <w:pStyle w:val="Compact"/>
        <w:numPr>
          <w:ilvl w:val="0"/>
          <w:numId w:val="1002"/>
        </w:numPr>
      </w:pPr>
      <w:r>
        <w:t xml:space="preserve">Weng </w:t>
      </w:r>
      <w:r>
        <w:rPr>
          <w:rFonts w:hint="eastAsia"/>
        </w:rPr>
        <w:t xml:space="preserve">等，MLaaS</w:t>
      </w:r>
      <w:r>
        <w:t xml:space="preserve"> in the Wild: Workload Analysis and Scheduling in Large-Scale Heterogeneous GPU </w:t>
      </w:r>
      <w:r>
        <w:rPr>
          <w:rFonts w:hint="eastAsia"/>
        </w:rPr>
        <w:t xml:space="preserve">Clusters，NSDI</w:t>
      </w:r>
      <w:r>
        <w:t xml:space="preserve"> </w:t>
      </w:r>
      <w:r>
        <w:rPr>
          <w:rFonts w:hint="eastAsia"/>
        </w:rPr>
        <w:t xml:space="preserve">2022，</w:t>
      </w:r>
      <w:hyperlink r:id="rId51">
        <w:r>
          <w:rPr>
            <w:rStyle w:val="Hyperlink"/>
            <w:rFonts w:hint="eastAsia"/>
          </w:rPr>
          <w:t xml:space="preserve">轨迹发布</w:t>
        </w:r>
      </w:hyperlink>
      <w:r>
        <w:t xml:space="preserve">。</w:t>
      </w:r>
    </w:p>
    <w:p>
      <w:pPr>
        <w:pStyle w:val="Compact"/>
        <w:numPr>
          <w:ilvl w:val="0"/>
          <w:numId w:val="1002"/>
        </w:numPr>
      </w:pPr>
      <w:r>
        <w:t xml:space="preserve">Hu </w:t>
      </w:r>
      <w:r>
        <w:rPr>
          <w:rFonts w:hint="eastAsia"/>
        </w:rPr>
        <w:t xml:space="preserve">等，Characterization</w:t>
      </w:r>
      <w:r>
        <w:t xml:space="preserve"> and Prediction of Deep Learning Workloads in Large-Scale GPU </w:t>
      </w:r>
      <w:r>
        <w:rPr>
          <w:rFonts w:hint="eastAsia"/>
        </w:rPr>
        <w:t xml:space="preserve">Datacenters，SC</w:t>
      </w:r>
      <w:r>
        <w:t xml:space="preserve"> </w:t>
      </w:r>
      <w:r>
        <w:rPr>
          <w:rFonts w:hint="eastAsia"/>
        </w:rPr>
        <w:t xml:space="preserve">2021，</w:t>
      </w:r>
      <w:hyperlink r:id="rId52">
        <w:r>
          <w:rPr>
            <w:rStyle w:val="Hyperlink"/>
            <w:rFonts w:hint="eastAsia"/>
          </w:rPr>
          <w:t xml:space="preserve">轨迹发布</w:t>
        </w:r>
      </w:hyperlink>
      <w:r>
        <w:t xml:space="preserve">。</w:t>
      </w:r>
    </w:p>
    <w:p>
      <w:pPr>
        <w:pStyle w:val="Compact"/>
        <w:numPr>
          <w:ilvl w:val="0"/>
          <w:numId w:val="1002"/>
        </w:numPr>
      </w:pPr>
      <w:r>
        <w:t xml:space="preserve">Jeon </w:t>
      </w:r>
      <w:r>
        <w:rPr>
          <w:rFonts w:hint="eastAsia"/>
        </w:rPr>
        <w:t xml:space="preserve">等，Analysis</w:t>
      </w:r>
      <w:r>
        <w:t xml:space="preserve"> of Large-Scale Multi-Tenant GPU Clusters for DNN Training </w:t>
      </w:r>
      <w:r>
        <w:rPr>
          <w:rFonts w:hint="eastAsia"/>
        </w:rPr>
        <w:t xml:space="preserve">Workloads，USENIX</w:t>
      </w:r>
      <w:r>
        <w:t xml:space="preserve"> ATC </w:t>
      </w:r>
      <w:r>
        <w:rPr>
          <w:rFonts w:hint="eastAsia"/>
        </w:rPr>
        <w:t xml:space="preserve">2019，</w:t>
      </w:r>
      <w:hyperlink r:id="rId53">
        <w:r>
          <w:rPr>
            <w:rStyle w:val="Hyperlink"/>
            <w:rFonts w:hint="eastAsia"/>
          </w:rPr>
          <w:t xml:space="preserve">轨迹发布</w:t>
        </w:r>
      </w:hyperlink>
      <w:r>
        <w:t xml:space="preserve">。</w:t>
      </w:r>
    </w:p>
    <w:p>
      <w:pPr>
        <w:pStyle w:val="FirstParagraph"/>
      </w:pPr>
      <w:r>
        <w:rPr>
          <w:rFonts w:hint="eastAsia"/>
        </w:rPr>
        <w:t xml:space="preserve">（以下沿用</w:t>
      </w:r>
      <w:r>
        <w:t xml:space="preserve"> v0.4 </w:t>
      </w:r>
      <w:r>
        <w:rPr>
          <w:rFonts w:hint="eastAsia"/>
        </w:rPr>
        <w:t xml:space="preserve">编号，正文引用</w:t>
      </w:r>
      <w:r>
        <w:t xml:space="preserve"> [6][7] </w:t>
      </w:r>
      <w:r>
        <w:rPr>
          <w:rFonts w:hint="eastAsia"/>
        </w:rPr>
        <w:t xml:space="preserve">指数据集时以本节对应条目为准）</w:t>
      </w:r>
    </w:p>
    <w:p>
      <w:pPr>
        <w:numPr>
          <w:ilvl w:val="0"/>
          <w:numId w:val="1003"/>
        </w:numPr>
      </w:pPr>
      <w:r>
        <w:t xml:space="preserve">Wu </w:t>
      </w:r>
      <w:r>
        <w:rPr>
          <w:rFonts w:hint="eastAsia"/>
        </w:rPr>
        <w:t xml:space="preserve">与</w:t>
      </w:r>
      <w:r>
        <w:t xml:space="preserve"> </w:t>
      </w:r>
      <w:r>
        <w:rPr>
          <w:rFonts w:hint="eastAsia"/>
        </w:rPr>
        <w:t xml:space="preserve">Kan，Hourly</w:t>
      </w:r>
      <w:r>
        <w:t xml:space="preserve"> electric power load and transmission data at the provincial level in </w:t>
      </w:r>
      <w:r>
        <w:rPr>
          <w:rFonts w:hint="eastAsia"/>
        </w:rPr>
        <w:t xml:space="preserve">China，</w:t>
      </w:r>
      <w:hyperlink r:id="rId54">
        <w:r>
          <w:rPr>
            <w:rStyle w:val="Hyperlink"/>
            <w:rFonts w:hint="eastAsia"/>
          </w:rPr>
          <w:t xml:space="preserve">数据集</w:t>
        </w:r>
      </w:hyperlink>
      <w:r>
        <w:t xml:space="preserve">。</w:t>
      </w:r>
    </w:p>
    <w:p>
      <w:pPr>
        <w:numPr>
          <w:ilvl w:val="0"/>
          <w:numId w:val="1003"/>
        </w:numPr>
      </w:pPr>
      <w:hyperlink r:id="rId55">
        <w:r>
          <w:rPr>
            <w:rStyle w:val="Hyperlink"/>
          </w:rPr>
          <w:t xml:space="preserve">PyPSA-China</w:t>
        </w:r>
      </w:hyperlink>
      <w:r>
        <w:rPr>
          <w:rFonts w:hint="eastAsia"/>
        </w:rPr>
        <w:t xml:space="preserve">，固定版本</w:t>
      </w:r>
      <w:r>
        <w:t xml:space="preserve"> </w:t>
      </w:r>
      <w:r>
        <w:rPr>
          <w:rStyle w:val="VerbatimChar"/>
        </w:rPr>
        <w:t xml:space="preserve">3ba042b201470e1f8b74e4356247565b4f8aee0d</w:t>
      </w:r>
      <w:r>
        <w:t xml:space="preserve">。</w:t>
      </w:r>
    </w:p>
    <w:p>
      <w:pPr>
        <w:numPr>
          <w:ilvl w:val="0"/>
          <w:numId w:val="1003"/>
        </w:numPr>
      </w:pPr>
      <w:r>
        <w:t xml:space="preserve">Wang </w:t>
      </w:r>
      <w:r>
        <w:rPr>
          <w:rFonts w:hint="eastAsia"/>
        </w:rPr>
        <w:t xml:space="preserve">等，BurstGPT:</w:t>
      </w:r>
      <w:r>
        <w:t xml:space="preserve"> A Real-World Workload Dataset to Optimize LLM Serving </w:t>
      </w:r>
      <w:r>
        <w:rPr>
          <w:rFonts w:hint="eastAsia"/>
        </w:rPr>
        <w:t xml:space="preserve">Systems，KDD</w:t>
      </w:r>
      <w:r>
        <w:t xml:space="preserve"> </w:t>
      </w:r>
      <w:r>
        <w:rPr>
          <w:rFonts w:hint="eastAsia"/>
        </w:rPr>
        <w:t xml:space="preserve">2025，</w:t>
      </w:r>
      <w:hyperlink r:id="rId56">
        <w:r>
          <w:rPr>
            <w:rStyle w:val="Hyperlink"/>
            <w:rFonts w:hint="eastAsia"/>
          </w:rPr>
          <w:t xml:space="preserve">论文</w:t>
        </w:r>
      </w:hyperlink>
      <w:r>
        <w:rPr>
          <w:rFonts w:hint="eastAsia"/>
        </w:rPr>
        <w:t xml:space="preserve">，</w:t>
      </w:r>
      <w:hyperlink r:id="rId57">
        <w:r>
          <w:rPr>
            <w:rStyle w:val="Hyperlink"/>
            <w:rFonts w:hint="eastAsia"/>
          </w:rPr>
          <w:t xml:space="preserve">固定发布</w:t>
        </w:r>
      </w:hyperlink>
      <w:r>
        <w:t xml:space="preserve">。</w:t>
      </w:r>
    </w:p>
    <w:p>
      <w:pPr>
        <w:numPr>
          <w:ilvl w:val="0"/>
          <w:numId w:val="1003"/>
        </w:numPr>
      </w:pPr>
      <w:r>
        <w:t xml:space="preserve">PyPSA-China </w:t>
      </w:r>
      <w:r>
        <w:rPr>
          <w:rFonts w:hint="eastAsia"/>
        </w:rPr>
        <w:t xml:space="preserve">V3.0，</w:t>
      </w:r>
      <w:hyperlink r:id="rId58">
        <w:r>
          <w:rPr>
            <w:rStyle w:val="Hyperlink"/>
            <w:rFonts w:hint="eastAsia"/>
          </w:rPr>
          <w:t xml:space="preserve">公开归档</w:t>
        </w:r>
      </w:hyperlink>
      <w:r>
        <w:rPr>
          <w:rFonts w:hint="eastAsia"/>
        </w:rPr>
        <w:t xml:space="preserve">，2024</w:t>
      </w:r>
      <w:r>
        <w:t xml:space="preserve"> </w:t>
      </w:r>
      <w:r>
        <w:rPr>
          <w:rFonts w:hint="eastAsia"/>
        </w:rPr>
        <w:t xml:space="preserve">年发布。归档成员版本与当前</w:t>
      </w:r>
      <w:r>
        <w:t xml:space="preserve"> GitHub </w:t>
      </w:r>
      <w:r>
        <w:rPr>
          <w:rFonts w:hint="eastAsia"/>
        </w:rPr>
        <w:t xml:space="preserve">版本分开管理。</w:t>
      </w:r>
    </w:p>
    <w:p>
      <w:pPr>
        <w:numPr>
          <w:ilvl w:val="0"/>
          <w:numId w:val="1003"/>
        </w:numPr>
      </w:pPr>
      <w:r>
        <w:rPr>
          <w:rFonts w:hint="eastAsia"/>
        </w:rPr>
        <w:t xml:space="preserve">国家能源局，</w:t>
      </w:r>
      <w:hyperlink r:id="rId59">
        <w:r>
          <w:rPr>
            <w:rStyle w:val="Hyperlink"/>
            <w:rFonts w:hint="eastAsia"/>
          </w:rPr>
          <w:t xml:space="preserve">关于新能源发电占全社会用电量比例问题的答复</w:t>
        </w:r>
      </w:hyperlink>
      <w:r>
        <w:rPr>
          <w:rFonts w:hint="eastAsia"/>
        </w:rPr>
        <w:t xml:space="preserve">，2021</w:t>
      </w:r>
      <w:r>
        <w:t xml:space="preserve"> </w:t>
      </w:r>
      <w:r>
        <w:rPr>
          <w:rFonts w:hint="eastAsia"/>
        </w:rPr>
        <w:t xml:space="preserve">年。</w:t>
      </w:r>
    </w:p>
    <w:p>
      <w:pPr>
        <w:numPr>
          <w:ilvl w:val="0"/>
          <w:numId w:val="1003"/>
        </w:numPr>
      </w:pPr>
      <w:r>
        <w:rPr>
          <w:rFonts w:hint="eastAsia"/>
        </w:rPr>
        <w:t xml:space="preserve">国家统计局，</w:t>
      </w:r>
      <w:hyperlink r:id="rId60">
        <w:r>
          <w:rPr>
            <w:rStyle w:val="Hyperlink"/>
            <w:rFonts w:hint="eastAsia"/>
          </w:rPr>
          <w:t xml:space="preserve">中华人民共和国2020年国民经济和社会发展统计公报</w:t>
        </w:r>
      </w:hyperlink>
      <w:r>
        <w:t xml:space="preserve">。</w:t>
      </w:r>
    </w:p>
    <w:p>
      <w:pPr>
        <w:numPr>
          <w:ilvl w:val="0"/>
          <w:numId w:val="1003"/>
        </w:numPr>
      </w:pPr>
      <w:r>
        <w:rPr>
          <w:rFonts w:hint="eastAsia"/>
        </w:rPr>
        <w:t xml:space="preserve">国家能源局、中国电力企业联合会，</w:t>
      </w:r>
      <w:hyperlink r:id="rId61">
        <w:r>
          <w:rPr>
            <w:rStyle w:val="Hyperlink"/>
          </w:rPr>
          <w:t xml:space="preserve">2020 </w:t>
        </w:r>
        <w:r>
          <w:rPr>
            <w:rStyle w:val="Hyperlink"/>
            <w:rFonts w:hint="eastAsia"/>
          </w:rPr>
          <w:t xml:space="preserve">年全国电力可靠性年度报告</w:t>
        </w:r>
      </w:hyperlink>
      <w:r>
        <w:rPr>
          <w:rFonts w:hint="eastAsia"/>
        </w:rPr>
        <w:t xml:space="preserve">，2021</w:t>
      </w:r>
      <w:r>
        <w:t xml:space="preserve"> </w:t>
      </w:r>
      <w:r>
        <w:rPr>
          <w:rFonts w:hint="eastAsia"/>
        </w:rPr>
        <w:t xml:space="preserve">年</w:t>
      </w:r>
      <w:r>
        <w:t xml:space="preserve"> 8 </w:t>
      </w:r>
      <w:r>
        <w:rPr>
          <w:rFonts w:hint="eastAsia"/>
        </w:rPr>
        <w:t xml:space="preserve">月，表</w:t>
      </w:r>
      <w:r>
        <w:t xml:space="preserve"> 2-5、2-28、2-29。</w:t>
      </w:r>
    </w:p>
    <w:p>
      <w:pPr>
        <w:numPr>
          <w:ilvl w:val="0"/>
          <w:numId w:val="1003"/>
        </w:numPr>
      </w:pPr>
      <w:r>
        <w:t xml:space="preserve">Stojkovic </w:t>
      </w:r>
      <w:r>
        <w:rPr>
          <w:rFonts w:hint="eastAsia"/>
        </w:rPr>
        <w:t xml:space="preserve">等，DynamoLLM:</w:t>
      </w:r>
      <w:r>
        <w:t xml:space="preserve"> Designing LLM Inference Clusters for Performance and Energy </w:t>
      </w:r>
      <w:r>
        <w:rPr>
          <w:rFonts w:hint="eastAsia"/>
        </w:rPr>
        <w:t xml:space="preserve">Efficiency，HPCA</w:t>
      </w:r>
      <w:r>
        <w:t xml:space="preserve"> </w:t>
      </w:r>
      <w:r>
        <w:rPr>
          <w:rFonts w:hint="eastAsia"/>
        </w:rPr>
        <w:t xml:space="preserve">2025，</w:t>
      </w:r>
      <w:hyperlink r:id="rId62">
        <w:r>
          <w:rPr>
            <w:rStyle w:val="Hyperlink"/>
            <w:rFonts w:hint="eastAsia"/>
          </w:rPr>
          <w:t xml:space="preserve">作者全文</w:t>
        </w:r>
      </w:hyperlink>
      <w:r>
        <w:t xml:space="preserve">。</w:t>
      </w:r>
    </w:p>
    <w:p>
      <w:pPr>
        <w:numPr>
          <w:ilvl w:val="0"/>
          <w:numId w:val="1003"/>
        </w:numPr>
      </w:pPr>
      <w:r>
        <w:rPr>
          <w:rFonts w:hint="eastAsia"/>
        </w:rPr>
        <w:t xml:space="preserve">中国核能行业协会，国家原子能机构转载，</w:t>
      </w:r>
      <w:hyperlink r:id="rId63">
        <w:r>
          <w:rPr>
            <w:rStyle w:val="Hyperlink"/>
          </w:rPr>
          <w:t xml:space="preserve">2020 </w:t>
        </w:r>
        <w:r>
          <w:rPr>
            <w:rStyle w:val="Hyperlink"/>
            <w:rFonts w:hint="eastAsia"/>
          </w:rPr>
          <w:t xml:space="preserve">年</w:t>
        </w:r>
        <w:r>
          <w:rPr>
            <w:rStyle w:val="Hyperlink"/>
          </w:rPr>
          <w:t xml:space="preserve"> 1—12 </w:t>
        </w:r>
        <w:r>
          <w:rPr>
            <w:rStyle w:val="Hyperlink"/>
            <w:rFonts w:hint="eastAsia"/>
          </w:rPr>
          <w:t xml:space="preserve">月全国核电运行情况</w:t>
        </w:r>
      </w:hyperlink>
      <w:r>
        <w:rPr>
          <w:rFonts w:hint="eastAsia"/>
        </w:rPr>
        <w:t xml:space="preserve">，表</w:t>
      </w:r>
      <w:r>
        <w:t xml:space="preserve"> </w:t>
      </w:r>
      <w:r>
        <w:rPr>
          <w:rFonts w:hint="eastAsia"/>
        </w:rPr>
        <w:t xml:space="preserve">1、表</w:t>
      </w:r>
      <w:r>
        <w:t xml:space="preserve"> </w:t>
      </w:r>
      <w:r>
        <w:rPr>
          <w:rFonts w:hint="eastAsia"/>
        </w:rPr>
        <w:t xml:space="preserve">2；图像已经逐行核对。</w:t>
      </w:r>
    </w:p>
    <w:p>
      <w:pPr>
        <w:numPr>
          <w:ilvl w:val="0"/>
          <w:numId w:val="1003"/>
        </w:numPr>
      </w:pPr>
      <w:r>
        <w:rPr>
          <w:rFonts w:hint="eastAsia"/>
        </w:rPr>
        <w:t xml:space="preserve">中国核能行业协会，国家原子能机构转载，</w:t>
      </w:r>
      <w:hyperlink r:id="rId64">
        <w:r>
          <w:rPr>
            <w:rStyle w:val="Hyperlink"/>
            <w:rFonts w:hint="eastAsia"/>
          </w:rPr>
          <w:t xml:space="preserve">全国核电运行情况（2021</w:t>
        </w:r>
        <w:r>
          <w:rPr>
            <w:rStyle w:val="Hyperlink"/>
          </w:rPr>
          <w:t xml:space="preserve"> </w:t>
        </w:r>
        <w:r>
          <w:rPr>
            <w:rStyle w:val="Hyperlink"/>
            <w:rFonts w:hint="eastAsia"/>
          </w:rPr>
          <w:t xml:space="preserve">年</w:t>
        </w:r>
        <w:r>
          <w:rPr>
            <w:rStyle w:val="Hyperlink"/>
          </w:rPr>
          <w:t xml:space="preserve"> 1—12 </w:t>
        </w:r>
        <w:r>
          <w:rPr>
            <w:rStyle w:val="Hyperlink"/>
            <w:rFonts w:hint="eastAsia"/>
          </w:rPr>
          <w:t xml:space="preserve">月）</w:t>
        </w:r>
      </w:hyperlink>
      <w:r>
        <w:rPr>
          <w:rFonts w:hint="eastAsia"/>
        </w:rPr>
        <w:t xml:space="preserve">，表</w:t>
      </w:r>
      <w:r>
        <w:t xml:space="preserve"> </w:t>
      </w:r>
      <w:r>
        <w:rPr>
          <w:rFonts w:hint="eastAsia"/>
        </w:rPr>
        <w:t xml:space="preserve">1、表</w:t>
      </w:r>
      <w:r>
        <w:t xml:space="preserve"> 3 </w:t>
      </w:r>
      <w:r>
        <w:rPr>
          <w:rFonts w:hint="eastAsia"/>
        </w:rPr>
        <w:t xml:space="preserve">及统计范围说明。</w:t>
      </w:r>
    </w:p>
    <w:p>
      <w:pPr>
        <w:numPr>
          <w:ilvl w:val="0"/>
          <w:numId w:val="1003"/>
        </w:numPr>
      </w:pPr>
      <w:r>
        <w:rPr>
          <w:rFonts w:hint="eastAsia"/>
        </w:rPr>
        <w:t xml:space="preserve">中国核工业集团，</w:t>
      </w:r>
      <w:hyperlink r:id="rId65">
        <w:r>
          <w:rPr>
            <w:rStyle w:val="Hyperlink"/>
          </w:rPr>
          <w:t xml:space="preserve">First Hualong One begins commercial operation</w:t>
        </w:r>
      </w:hyperlink>
      <w:r>
        <w:rPr>
          <w:rFonts w:hint="eastAsia"/>
        </w:rPr>
        <w:t xml:space="preserve">，2021</w:t>
      </w:r>
      <w:r>
        <w:t xml:space="preserve"> </w:t>
      </w:r>
      <w:r>
        <w:rPr>
          <w:rFonts w:hint="eastAsia"/>
        </w:rPr>
        <w:t xml:space="preserve">年</w:t>
      </w:r>
      <w:r>
        <w:t xml:space="preserve"> 2 </w:t>
      </w:r>
      <w:r>
        <w:rPr>
          <w:rFonts w:hint="eastAsia"/>
        </w:rPr>
        <w:t xml:space="preserve">月</w:t>
      </w:r>
      <w:r>
        <w:t xml:space="preserve"> 2 </w:t>
      </w:r>
      <w:r>
        <w:rPr>
          <w:rFonts w:hint="eastAsia"/>
        </w:rPr>
        <w:t xml:space="preserve">日。</w:t>
      </w:r>
    </w:p>
    <w:p>
      <w:pPr>
        <w:numPr>
          <w:ilvl w:val="0"/>
          <w:numId w:val="1003"/>
        </w:numPr>
      </w:pPr>
      <w:r>
        <w:rPr>
          <w:rFonts w:hint="eastAsia"/>
        </w:rPr>
        <w:t xml:space="preserve">PyPSA，</w:t>
      </w:r>
      <w:hyperlink r:id="rId66">
        <w:r>
          <w:rPr>
            <w:rStyle w:val="Hyperlink"/>
          </w:rPr>
          <w:t xml:space="preserve">Store </w:t>
        </w:r>
        <w:r>
          <w:rPr>
            <w:rStyle w:val="Hyperlink"/>
            <w:rFonts w:hint="eastAsia"/>
          </w:rPr>
          <w:t xml:space="preserve">组件文档</w:t>
        </w:r>
      </w:hyperlink>
      <w:r>
        <w:rPr>
          <w:rFonts w:hint="eastAsia"/>
        </w:rPr>
        <w:t xml:space="preserve">，循环与初始状态参数语义，2026-09-14</w:t>
      </w:r>
      <w:r>
        <w:t xml:space="preserve"> </w:t>
      </w:r>
      <w:r>
        <w:rPr>
          <w:rFonts w:hint="eastAsia"/>
        </w:rPr>
        <w:t xml:space="preserve">核对。</w:t>
      </w:r>
    </w:p>
    <w:p>
      <w:pPr>
        <w:numPr>
          <w:ilvl w:val="0"/>
          <w:numId w:val="1003"/>
        </w:numPr>
      </w:pPr>
      <w:r>
        <w:rPr>
          <w:rFonts w:hint="eastAsia"/>
        </w:rPr>
        <w:t xml:space="preserve">三峡集团，</w:t>
      </w:r>
      <w:hyperlink r:id="rId67">
        <w:r>
          <w:rPr>
            <w:rStyle w:val="Hyperlink"/>
            <w:rFonts w:hint="eastAsia"/>
          </w:rPr>
          <w:t xml:space="preserve">2021，历史镌刻下“白鹤滩时间”</w:t>
        </w:r>
      </w:hyperlink>
      <w:r>
        <w:rPr>
          <w:rFonts w:hint="eastAsia"/>
        </w:rPr>
        <w:t xml:space="preserve">，正文发布日期</w:t>
      </w:r>
      <w:r>
        <w:t xml:space="preserve"> </w:t>
      </w:r>
      <w:r>
        <w:rPr>
          <w:rFonts w:hint="eastAsia"/>
        </w:rPr>
        <w:t xml:space="preserve">2022-01-12；不以迁移后的网址年份作为事件年份。</w:t>
      </w:r>
    </w:p>
    <w:p>
      <w:pPr>
        <w:numPr>
          <w:ilvl w:val="0"/>
          <w:numId w:val="1003"/>
        </w:numPr>
      </w:pPr>
      <w:r>
        <w:rPr>
          <w:rFonts w:hint="eastAsia"/>
        </w:rPr>
        <w:t xml:space="preserve">三峡集团，</w:t>
      </w:r>
      <w:hyperlink r:id="rId68">
        <w:r>
          <w:rPr>
            <w:rStyle w:val="Hyperlink"/>
            <w:rFonts w:hint="eastAsia"/>
          </w:rPr>
          <w:t xml:space="preserve">乌东德水电站半年投产8台巨型机组</w:t>
        </w:r>
      </w:hyperlink>
      <w:r>
        <w:rPr>
          <w:rFonts w:hint="eastAsia"/>
        </w:rPr>
        <w:t xml:space="preserve">，正文发布日期</w:t>
      </w:r>
      <w:r>
        <w:t xml:space="preserve"> 2020-12-20。</w:t>
      </w:r>
    </w:p>
    <w:p>
      <w:pPr>
        <w:numPr>
          <w:ilvl w:val="0"/>
          <w:numId w:val="1003"/>
        </w:numPr>
      </w:pPr>
      <w:r>
        <w:rPr>
          <w:rFonts w:hint="eastAsia"/>
        </w:rPr>
        <w:t xml:space="preserve">国家统计局，</w:t>
      </w:r>
      <w:hyperlink r:id="rId69">
        <w:r>
          <w:rPr>
            <w:rStyle w:val="Hyperlink"/>
            <w:rFonts w:hint="eastAsia"/>
          </w:rPr>
          <w:t xml:space="preserve">中国统计年鉴</w:t>
        </w:r>
        <w:r>
          <w:rPr>
            <w:rStyle w:val="Hyperlink"/>
          </w:rPr>
          <w:t xml:space="preserve"> </w:t>
        </w:r>
        <w:r>
          <w:rPr>
            <w:rStyle w:val="Hyperlink"/>
            <w:rFonts w:hint="eastAsia"/>
          </w:rPr>
          <w:t xml:space="preserve">2021，表</w:t>
        </w:r>
        <w:r>
          <w:rPr>
            <w:rStyle w:val="Hyperlink"/>
          </w:rPr>
          <w:t xml:space="preserve"> 9-14 </w:t>
        </w:r>
        <w:r>
          <w:rPr>
            <w:rStyle w:val="Hyperlink"/>
            <w:rFonts w:hint="eastAsia"/>
          </w:rPr>
          <w:t xml:space="preserve">分地区用电量</w:t>
        </w:r>
      </w:hyperlink>
      <w:r>
        <w:rPr>
          <w:rFonts w:hint="eastAsia"/>
        </w:rPr>
        <w:t xml:space="preserve">。分省</w:t>
      </w:r>
      <w:r>
        <w:t xml:space="preserve"> 2020 </w:t>
      </w:r>
      <w:r>
        <w:rPr>
          <w:rFonts w:hint="eastAsia"/>
        </w:rPr>
        <w:t xml:space="preserve">年数值手工转录并保留原表精度。</w:t>
      </w:r>
    </w:p>
    <w:p>
      <w:pPr>
        <w:numPr>
          <w:ilvl w:val="0"/>
          <w:numId w:val="1003"/>
        </w:numPr>
      </w:pPr>
      <w:r>
        <w:rPr>
          <w:rFonts w:hint="eastAsia"/>
        </w:rPr>
        <w:t xml:space="preserve">国家能源局江苏监管办公室，</w:t>
      </w:r>
      <w:hyperlink r:id="rId70">
        <w:r>
          <w:rPr>
            <w:rStyle w:val="Hyperlink"/>
          </w:rPr>
          <w:t xml:space="preserve">2020 </w:t>
        </w:r>
        <w:r>
          <w:rPr>
            <w:rStyle w:val="Hyperlink"/>
            <w:rFonts w:hint="eastAsia"/>
          </w:rPr>
          <w:t xml:space="preserve">年</w:t>
        </w:r>
        <w:r>
          <w:rPr>
            <w:rStyle w:val="Hyperlink"/>
          </w:rPr>
          <w:t xml:space="preserve"> 7 </w:t>
        </w:r>
        <w:r>
          <w:rPr>
            <w:rStyle w:val="Hyperlink"/>
            <w:rFonts w:hint="eastAsia"/>
          </w:rPr>
          <w:t xml:space="preserve">月江苏电力运行情况通报</w:t>
        </w:r>
      </w:hyperlink>
      <w:r>
        <w:t xml:space="preserve">。</w:t>
      </w:r>
    </w:p>
    <w:p>
      <w:pPr>
        <w:numPr>
          <w:ilvl w:val="0"/>
          <w:numId w:val="1003"/>
        </w:numPr>
      </w:pPr>
      <w:r>
        <w:rPr>
          <w:rFonts w:hint="eastAsia"/>
        </w:rPr>
        <w:t xml:space="preserve">国家能源局江苏监管办公室，</w:t>
      </w:r>
      <w:hyperlink r:id="rId71">
        <w:r>
          <w:rPr>
            <w:rStyle w:val="Hyperlink"/>
          </w:rPr>
          <w:t xml:space="preserve">2020 </w:t>
        </w:r>
        <w:r>
          <w:rPr>
            <w:rStyle w:val="Hyperlink"/>
            <w:rFonts w:hint="eastAsia"/>
          </w:rPr>
          <w:t xml:space="preserve">年</w:t>
        </w:r>
        <w:r>
          <w:rPr>
            <w:rStyle w:val="Hyperlink"/>
          </w:rPr>
          <w:t xml:space="preserve"> 9 </w:t>
        </w:r>
        <w:r>
          <w:rPr>
            <w:rStyle w:val="Hyperlink"/>
            <w:rFonts w:hint="eastAsia"/>
          </w:rPr>
          <w:t xml:space="preserve">月江苏电力运行情况通报</w:t>
        </w:r>
      </w:hyperlink>
      <w:r>
        <w:t xml:space="preserve">。</w:t>
      </w:r>
    </w:p>
    <w:p>
      <w:pPr>
        <w:numPr>
          <w:ilvl w:val="0"/>
          <w:numId w:val="1003"/>
        </w:numPr>
      </w:pPr>
      <w:r>
        <w:rPr>
          <w:rFonts w:hint="eastAsia"/>
        </w:rPr>
        <w:t xml:space="preserve">国家能源局江苏监管办公室，</w:t>
      </w:r>
      <w:hyperlink r:id="rId72">
        <w:r>
          <w:rPr>
            <w:rStyle w:val="Hyperlink"/>
          </w:rPr>
          <w:t xml:space="preserve">2020 </w:t>
        </w:r>
        <w:r>
          <w:rPr>
            <w:rStyle w:val="Hyperlink"/>
            <w:rFonts w:hint="eastAsia"/>
          </w:rPr>
          <w:t xml:space="preserve">年</w:t>
        </w:r>
        <w:r>
          <w:rPr>
            <w:rStyle w:val="Hyperlink"/>
          </w:rPr>
          <w:t xml:space="preserve"> 10 </w:t>
        </w:r>
        <w:r>
          <w:rPr>
            <w:rStyle w:val="Hyperlink"/>
            <w:rFonts w:hint="eastAsia"/>
          </w:rPr>
          <w:t xml:space="preserve">月江苏电力运行情况通报</w:t>
        </w:r>
      </w:hyperlink>
      <w:r>
        <w:t xml:space="preserve">。</w:t>
      </w:r>
    </w:p>
    <w:p>
      <w:pPr>
        <w:numPr>
          <w:ilvl w:val="0"/>
          <w:numId w:val="1003"/>
        </w:numPr>
      </w:pPr>
      <w:r>
        <w:rPr>
          <w:rFonts w:hint="eastAsia"/>
        </w:rPr>
        <w:t xml:space="preserve">国家能源局江苏监管办公室，</w:t>
      </w:r>
      <w:hyperlink r:id="rId73">
        <w:r>
          <w:rPr>
            <w:rStyle w:val="Hyperlink"/>
          </w:rPr>
          <w:t xml:space="preserve">2020 </w:t>
        </w:r>
        <w:r>
          <w:rPr>
            <w:rStyle w:val="Hyperlink"/>
            <w:rFonts w:hint="eastAsia"/>
          </w:rPr>
          <w:t xml:space="preserve">年</w:t>
        </w:r>
        <w:r>
          <w:rPr>
            <w:rStyle w:val="Hyperlink"/>
          </w:rPr>
          <w:t xml:space="preserve"> 11 </w:t>
        </w:r>
        <w:r>
          <w:rPr>
            <w:rStyle w:val="Hyperlink"/>
            <w:rFonts w:hint="eastAsia"/>
          </w:rPr>
          <w:t xml:space="preserve">月江苏电力运行情况通报</w:t>
        </w:r>
      </w:hyperlink>
      <w:r>
        <w:t xml:space="preserve">。</w:t>
      </w:r>
    </w:p>
    <w:bookmarkEnd w:id="74"/>
    <w:bookmarkStart w:id="75" w:name="配图与补充材料状态"/>
    <w:p>
      <w:pPr>
        <w:pStyle w:val="Heading2"/>
      </w:pPr>
      <w:r>
        <w:rPr>
          <w:rFonts w:hint="eastAsia"/>
        </w:rPr>
        <w:t xml:space="preserve">配图与补充材料状态</w:t>
      </w:r>
    </w:p>
    <w:p>
      <w:pPr>
        <w:pStyle w:val="Compact"/>
        <w:numPr>
          <w:ilvl w:val="0"/>
          <w:numId w:val="1004"/>
        </w:numPr>
      </w:pPr>
      <w:r>
        <w:rPr>
          <w:rFonts w:hint="eastAsia"/>
        </w:rPr>
        <w:t xml:space="preserve">图</w:t>
      </w:r>
      <w:r>
        <w:t xml:space="preserve"> </w:t>
      </w:r>
      <w:r>
        <w:rPr>
          <w:rFonts w:hint="eastAsia"/>
        </w:rPr>
        <w:t xml:space="preserve">1：公开功率—性能再分析，已完成</w:t>
      </w:r>
      <w:r>
        <w:t xml:space="preserve"> PNG、SVG、PDF。</w:t>
      </w:r>
    </w:p>
    <w:p>
      <w:pPr>
        <w:pStyle w:val="Compact"/>
        <w:numPr>
          <w:ilvl w:val="0"/>
          <w:numId w:val="1004"/>
        </w:numPr>
      </w:pPr>
      <w:r>
        <w:rPr>
          <w:rFonts w:hint="eastAsia"/>
        </w:rPr>
        <w:t xml:space="preserve">任务到达、响应和恢复图：模型已有输出，待真实轨迹验证后确定主图内容。</w:t>
      </w:r>
    </w:p>
    <w:p>
      <w:pPr>
        <w:pStyle w:val="Compact"/>
        <w:numPr>
          <w:ilvl w:val="0"/>
          <w:numId w:val="1004"/>
        </w:numPr>
      </w:pPr>
      <w:r>
        <w:rPr>
          <w:rFonts w:hint="eastAsia"/>
        </w:rPr>
        <w:t xml:space="preserve">系统投资与排放、兑现差距、机制效果和地区稳健性图：等待相应研究完成。</w:t>
      </w:r>
    </w:p>
    <w:p>
      <w:pPr>
        <w:pStyle w:val="Compact"/>
        <w:numPr>
          <w:ilvl w:val="0"/>
          <w:numId w:val="1004"/>
        </w:numPr>
      </w:pPr>
      <w:r>
        <w:rPr>
          <w:rFonts w:hint="eastAsia"/>
        </w:rPr>
        <w:t xml:space="preserve">数据台账、文献核查表、输入冲突和模型检查记录：已建立，持续更新。</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ceepr.mit.edu/wp-content/uploads/2025/07/MIT-CEEPR-WP-2025-14.pdf" TargetMode="External" /><Relationship Type="http://schemas.openxmlformats.org/officeDocument/2006/relationships/hyperlink" Id="rId66" Target="https://docs.pypsa.org/stable/api/components/types/stores/" TargetMode="External" /><Relationship Type="http://schemas.openxmlformats.org/officeDocument/2006/relationships/hyperlink" Id="rId45" Target="https://doi.org/10.1038/s41560-025-01927-1" TargetMode="External" /><Relationship Type="http://schemas.openxmlformats.org/officeDocument/2006/relationships/hyperlink" Id="rId56" Target="https://doi.org/10.1145/3711896.3737413" TargetMode="External" /><Relationship Type="http://schemas.openxmlformats.org/officeDocument/2006/relationships/hyperlink" Id="rId58" Target="https://doi.org/10.5281/zenodo.13987282" TargetMode="External" /><Relationship Type="http://schemas.openxmlformats.org/officeDocument/2006/relationships/hyperlink" Id="rId54" Target="https://doi.org/10.5281/zenodo.8322210" TargetMode="External" /><Relationship Type="http://schemas.openxmlformats.org/officeDocument/2006/relationships/hyperlink" Id="rId65" Target="https://en.cnnc.com.cn/2021-02/02/c_1026347.htm" TargetMode="External" /><Relationship Type="http://schemas.openxmlformats.org/officeDocument/2006/relationships/hyperlink" Id="rId57" Target="https://github.com/HPMLL/BurstGPT/releases/tag/v2.0" TargetMode="External" /><Relationship Type="http://schemas.openxmlformats.org/officeDocument/2006/relationships/hyperlink" Id="rId55" Target="https://github.com/PyPSA/PyPSA-China" TargetMode="External" /><Relationship Type="http://schemas.openxmlformats.org/officeDocument/2006/relationships/hyperlink" Id="rId52" Target="https://github.com/S-Lab-System-Group/HeliosData" TargetMode="External" /><Relationship Type="http://schemas.openxmlformats.org/officeDocument/2006/relationships/hyperlink" Id="rId46" Target="https://github.com/ai-emerald/emerald-ai-demo-may-2025" TargetMode="External" /><Relationship Type="http://schemas.openxmlformats.org/officeDocument/2006/relationships/hyperlink" Id="rId51" Target="https://github.com/alibaba/clusterdata/tree/master/cluster-trace-gpu-v2020" TargetMode="External" /><Relationship Type="http://schemas.openxmlformats.org/officeDocument/2006/relationships/hyperlink" Id="rId50" Target="https://github.com/ctdunlap32/data-center-flexibility-resource-adequacy" TargetMode="External" /><Relationship Type="http://schemas.openxmlformats.org/officeDocument/2006/relationships/hyperlink" Id="rId53" Target="https://github.com/msr-fiddle/philly-traces" TargetMode="External" /><Relationship Type="http://schemas.openxmlformats.org/officeDocument/2006/relationships/hyperlink" Id="rId49" Target="https://ira.lib.polyu.edu.hk/bitstream/10397/113048/1/1-s2.0-S0306261925007500-main.pdf" TargetMode="External" /><Relationship Type="http://schemas.openxmlformats.org/officeDocument/2006/relationships/hyperlink" Id="rId62" Target="https://jovans2.github.io/files/DynamoLLM_HPCA2025.pdf" TargetMode="External" /><Relationship Type="http://schemas.openxmlformats.org/officeDocument/2006/relationships/hyperlink" Id="rId70" Target="https://jsb.nea.gov.cn/dtyw/jgdt/202309/t20230910_29496.html" TargetMode="External" /><Relationship Type="http://schemas.openxmlformats.org/officeDocument/2006/relationships/hyperlink" Id="rId71" Target="https://jsb.nea.gov.cn/dtyw/jgdt/202309/t20230910_29528.html" TargetMode="External" /><Relationship Type="http://schemas.openxmlformats.org/officeDocument/2006/relationships/hyperlink" Id="rId72" Target="https://jsb.nea.gov.cn/dtyw/jgdt/202309/t20230910_29554.html" TargetMode="External" /><Relationship Type="http://schemas.openxmlformats.org/officeDocument/2006/relationships/hyperlink" Id="rId73" Target="https://jsb.nea.gov.cn/dtyw/jgdt/202309/t20230910_29575.html" TargetMode="External" /><Relationship Type="http://schemas.openxmlformats.org/officeDocument/2006/relationships/hyperlink" Id="rId47" Target="https://par.nsf.gov/servlets/purl/10388099" TargetMode="External" /><Relationship Type="http://schemas.openxmlformats.org/officeDocument/2006/relationships/hyperlink" Id="rId61" Target="https://prpq.nea.gov.cn/uploads/file1/20211009/616107fe94a8e.pdf" TargetMode="External" /><Relationship Type="http://schemas.openxmlformats.org/officeDocument/2006/relationships/hyperlink" Id="rId63" Target="https://www.caea.gov.cn/n6760340/n6760356/c6827514/content.html" TargetMode="External" /><Relationship Type="http://schemas.openxmlformats.org/officeDocument/2006/relationships/hyperlink" Id="rId64" Target="https://www.caea.gov.cn/n6760340/n6760356/c6827530/content.html" TargetMode="External" /><Relationship Type="http://schemas.openxmlformats.org/officeDocument/2006/relationships/hyperlink" Id="rId68" Target="https://www.ctg.com.cn/sxjt/xwzx55/zhxw23/2024081106052368282/index.html" TargetMode="External" /><Relationship Type="http://schemas.openxmlformats.org/officeDocument/2006/relationships/hyperlink" Id="rId67" Target="https://www.ctg.com.cn/sxjt/xwzx55/zhxw23/2024081106181629105/index.html" TargetMode="External" /><Relationship Type="http://schemas.openxmlformats.org/officeDocument/2006/relationships/hyperlink" Id="rId59" Target="https://www.nea.gov.cn/2021-04/16/c_139884169.htm" TargetMode="External" /><Relationship Type="http://schemas.openxmlformats.org/officeDocument/2006/relationships/hyperlink" Id="rId69" Target="https://www.stats.gov.cn/sj/ndsj/2021/html/C09-14.jpg" TargetMode="External" /><Relationship Type="http://schemas.openxmlformats.org/officeDocument/2006/relationships/hyperlink" Id="rId60" Target="https://www.stats.gov.cn/sj/zxfb/202302/t20230203_1901004.html" TargetMode="External" /></Relationships>
</file>

<file path=word/_rels/footnotes.xml.rels><?xml version="1.0" encoding="UTF-8"?><Relationships xmlns="http://schemas.openxmlformats.org/package/2006/relationships"><Relationship Type="http://schemas.openxmlformats.org/officeDocument/2006/relationships/hyperlink" Id="rId48" Target="https://ceepr.mit.edu/wp-content/uploads/2025/07/MIT-CEEPR-WP-2025-14.pdf" TargetMode="External" /><Relationship Type="http://schemas.openxmlformats.org/officeDocument/2006/relationships/hyperlink" Id="rId66" Target="https://docs.pypsa.org/stable/api/components/types/stores/" TargetMode="External" /><Relationship Type="http://schemas.openxmlformats.org/officeDocument/2006/relationships/hyperlink" Id="rId45" Target="https://doi.org/10.1038/s41560-025-01927-1" TargetMode="External" /><Relationship Type="http://schemas.openxmlformats.org/officeDocument/2006/relationships/hyperlink" Id="rId56" Target="https://doi.org/10.1145/3711896.3737413" TargetMode="External" /><Relationship Type="http://schemas.openxmlformats.org/officeDocument/2006/relationships/hyperlink" Id="rId58" Target="https://doi.org/10.5281/zenodo.13987282" TargetMode="External" /><Relationship Type="http://schemas.openxmlformats.org/officeDocument/2006/relationships/hyperlink" Id="rId54" Target="https://doi.org/10.5281/zenodo.8322210" TargetMode="External" /><Relationship Type="http://schemas.openxmlformats.org/officeDocument/2006/relationships/hyperlink" Id="rId65" Target="https://en.cnnc.com.cn/2021-02/02/c_1026347.htm" TargetMode="External" /><Relationship Type="http://schemas.openxmlformats.org/officeDocument/2006/relationships/hyperlink" Id="rId57" Target="https://github.com/HPMLL/BurstGPT/releases/tag/v2.0" TargetMode="External" /><Relationship Type="http://schemas.openxmlformats.org/officeDocument/2006/relationships/hyperlink" Id="rId55" Target="https://github.com/PyPSA/PyPSA-China" TargetMode="External" /><Relationship Type="http://schemas.openxmlformats.org/officeDocument/2006/relationships/hyperlink" Id="rId52" Target="https://github.com/S-Lab-System-Group/HeliosData" TargetMode="External" /><Relationship Type="http://schemas.openxmlformats.org/officeDocument/2006/relationships/hyperlink" Id="rId46" Target="https://github.com/ai-emerald/emerald-ai-demo-may-2025" TargetMode="External" /><Relationship Type="http://schemas.openxmlformats.org/officeDocument/2006/relationships/hyperlink" Id="rId51" Target="https://github.com/alibaba/clusterdata/tree/master/cluster-trace-gpu-v2020" TargetMode="External" /><Relationship Type="http://schemas.openxmlformats.org/officeDocument/2006/relationships/hyperlink" Id="rId50" Target="https://github.com/ctdunlap32/data-center-flexibility-resource-adequacy" TargetMode="External" /><Relationship Type="http://schemas.openxmlformats.org/officeDocument/2006/relationships/hyperlink" Id="rId53" Target="https://github.com/msr-fiddle/philly-traces" TargetMode="External" /><Relationship Type="http://schemas.openxmlformats.org/officeDocument/2006/relationships/hyperlink" Id="rId49" Target="https://ira.lib.polyu.edu.hk/bitstream/10397/113048/1/1-s2.0-S0306261925007500-main.pdf" TargetMode="External" /><Relationship Type="http://schemas.openxmlformats.org/officeDocument/2006/relationships/hyperlink" Id="rId62" Target="https://jovans2.github.io/files/DynamoLLM_HPCA2025.pdf" TargetMode="External" /><Relationship Type="http://schemas.openxmlformats.org/officeDocument/2006/relationships/hyperlink" Id="rId70" Target="https://jsb.nea.gov.cn/dtyw/jgdt/202309/t20230910_29496.html" TargetMode="External" /><Relationship Type="http://schemas.openxmlformats.org/officeDocument/2006/relationships/hyperlink" Id="rId71" Target="https://jsb.nea.gov.cn/dtyw/jgdt/202309/t20230910_29528.html" TargetMode="External" /><Relationship Type="http://schemas.openxmlformats.org/officeDocument/2006/relationships/hyperlink" Id="rId72" Target="https://jsb.nea.gov.cn/dtyw/jgdt/202309/t20230910_29554.html" TargetMode="External" /><Relationship Type="http://schemas.openxmlformats.org/officeDocument/2006/relationships/hyperlink" Id="rId73" Target="https://jsb.nea.gov.cn/dtyw/jgdt/202309/t20230910_29575.html" TargetMode="External" /><Relationship Type="http://schemas.openxmlformats.org/officeDocument/2006/relationships/hyperlink" Id="rId47" Target="https://par.nsf.gov/servlets/purl/10388099" TargetMode="External" /><Relationship Type="http://schemas.openxmlformats.org/officeDocument/2006/relationships/hyperlink" Id="rId61" Target="https://prpq.nea.gov.cn/uploads/file1/20211009/616107fe94a8e.pdf" TargetMode="External" /><Relationship Type="http://schemas.openxmlformats.org/officeDocument/2006/relationships/hyperlink" Id="rId63" Target="https://www.caea.gov.cn/n6760340/n6760356/c6827514/content.html" TargetMode="External" /><Relationship Type="http://schemas.openxmlformats.org/officeDocument/2006/relationships/hyperlink" Id="rId64" Target="https://www.caea.gov.cn/n6760340/n6760356/c6827530/content.html" TargetMode="External" /><Relationship Type="http://schemas.openxmlformats.org/officeDocument/2006/relationships/hyperlink" Id="rId68" Target="https://www.ctg.com.cn/sxjt/xwzx55/zhxw23/2024081106052368282/index.html" TargetMode="External" /><Relationship Type="http://schemas.openxmlformats.org/officeDocument/2006/relationships/hyperlink" Id="rId67" Target="https://www.ctg.com.cn/sxjt/xwzx55/zhxw23/2024081106181629105/index.html" TargetMode="External" /><Relationship Type="http://schemas.openxmlformats.org/officeDocument/2006/relationships/hyperlink" Id="rId59" Target="https://www.nea.gov.cn/2021-04/16/c_139884169.htm" TargetMode="External" /><Relationship Type="http://schemas.openxmlformats.org/officeDocument/2006/relationships/hyperlink" Id="rId69" Target="https://www.stats.gov.cn/sj/ndsj/2021/html/C09-14.jpg" TargetMode="External" /><Relationship Type="http://schemas.openxmlformats.org/officeDocument/2006/relationships/hyperlink" Id="rId60" Target="https://www.stats.gov.cn/sj/zxfb/202302/t20230203_190100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2026-09-15T05:18:47Z</dcterms:created>
  <dcterms:modified xsi:type="dcterms:W3CDTF">2026-09-15T05:18:47Z</dcterms:modified>
</cp:coreProperties>
</file>

<file path=docProps/custom.xml><?xml version="1.0" encoding="utf-8"?>
<Properties xmlns="http://schemas.openxmlformats.org/officeDocument/2006/custom-properties" xmlns:vt="http://schemas.openxmlformats.org/officeDocument/2006/docPropsVTypes"/>
</file>