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upplementary-information"/>
    <w:p>
      <w:pPr>
        <w:pStyle w:val="Heading1"/>
      </w:pPr>
      <w:r>
        <w:t xml:space="preserve">Supplementary Information</w:t>
      </w:r>
    </w:p>
    <w:p>
      <w:pPr>
        <w:pStyle w:val="FirstParagraph"/>
      </w:pPr>
      <w:r>
        <w:rPr>
          <w:b/>
          <w:bCs/>
        </w:rPr>
        <w:t xml:space="preserve">From technical flexibility to realised power-system value in AI computing</w:t>
      </w:r>
      <w:r>
        <w:t xml:space="preserve"> </w:t>
      </w:r>
      <w:r>
        <w:t xml:space="preserve">— v1.0, 15 September 2026</w:t>
      </w:r>
    </w:p>
    <w:bookmarkStart w:id="9" w:name="s1.-data-registry"/>
    <w:p>
      <w:pPr>
        <w:pStyle w:val="Heading2"/>
      </w:pPr>
      <w:r>
        <w:t xml:space="preserve">S1. Data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"/>
        <w:gridCol w:w="1257"/>
        <w:gridCol w:w="1118"/>
        <w:gridCol w:w="854"/>
        <w:gridCol w:w="980"/>
        <w:gridCol w:w="1056"/>
        <w:gridCol w:w="25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 AI May 2025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https://github.com/ai-emerald/emerald-ai-demo-may-2025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published_experimental_data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 repository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downloaded_reanalysed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GPU-only modes; timestamp/aggregate conflicts; no independent repeated runs or complete service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2018 provincial hourly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https://doi.org/10.5281/zenodo.8322210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reconstructed_historical_load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checksums_verified_column_mapping_verified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daily-extrema typical-profile reconstruction; not current metered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interprovincial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https://doi.org/10.5281/zenodo.8322210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compiled_infrastructure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quarantined_pending_asset_checks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classifications reversed vs appendix; 3 matrix/list edge conflicts; aliases and endpoints 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PyPSA-China model and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https://github.com/PyPSA/PyPSA-China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code_and_derived_inputs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code; per-input licenses need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repository_downloaded_load_provenance_traced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shares historical origin with D02; not independent validation; default future load scaled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Dunlap capacity-adequacy source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https://github.com/ctdunlap32/data-center-flexibility-resource-adequacy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author_code_manuscript_processed_inputs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code; upstream data licenses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method_inspected_not_reproduced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exogenous ELCC and partially unobserved assumptions; author manuscript is not Nature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LLM inference trace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https://github.com/Azure/AzurePublicDataset/blob/master/AzureLLMInferenceDataset2024.md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production_request_metadata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schema_license_release_sizes_inspected_not_downloaded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invocation and token lengths only; no deadlines or GPU power; code 692 MB, conversation 1135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Two-block diagnostic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production workloads or grid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Sequential-task diagnostic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arrivals; assumed deadline and idle power; no grid or switching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BurstGPT release v2.0 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https://github.com/HPMLL/BurstGPT/releases/tag/v2.0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production_request_metadata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download_digest_verified_schema_and_hourly_audit_complete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deadlines, elapsed time, request IDs or power; retain repeated metadata and zero-output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PyPSA-China V3.0 selected archive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https://doi.org/10.5281/zenodo.13987282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published_model_inputs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record; verify upstream embedded sources before redistribution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member_crc_size_verified_and_inputs_audited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calibrated base year; source-model totals and official statistics differ; hydro leapday missing; reservoir subsystem 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national power reliability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https://prpq.nea.gov.cn/uploads/file1/20211009/616107fe94a8e.pdf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official_aggregate_reliability_statistics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official report; reuse facts with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PDF_obtained_three_tables_extracted_with_sum_checks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chronological outage telemetry; unplanned/forced/availability metrics differ; unit-year exposure definitions require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DynamoLLM HPCA 2025 published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https://jovans2.github.io/files/DynamoLLM_HPCA2025.pdf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published_experimental_methods_and_aggregate_tables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author-hosted paper; numeric facts attributed; no PDF redistribution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PDF_obtained_tables_and_methods_inspected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power/performance profiling dataset not obtained; cannot treat example SLOs as BurstGPT observed 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commitment operational cost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analyst_assumptions_with_measured_modes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implemented_analytic_dual_and_convexity_checks_passed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tariffs, arrivals, deadlines, idle power; no observed company costs or grid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Global Integrated Power Tracker July 2025 China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https://doi.org/10.5281/zenodo.16810831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compiled_unit_phase_inventory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confirmed About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download_checksum_verified_unit_ID_and_date_completeness_audited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thresholds, unknown dates, conversions and historical retired coverage require reconciliation; not complete official historical fleet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 PAI GPU cluster trace 2020 (NSDI 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https://github.com/alibaba/clusterdata/tree/master/cluster-trace-gpu-v2020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production_job_task_instance_metadata_and_instance_average_sensors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(repository LICENSE)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downloaded_extracted_sha256_recorded_audit_in_progress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deadlines, no power; plan_gpu is requested not used; wait = scheduling latency only; dates fake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SenseTime Helios GPU cluster traces (SC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https://github.com/S-Lab-System-Group/HeliosData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production_slurm_job_metadata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LICENSE.txt in release (Apache-2.0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downloaded_sha256_verified_audit_complete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power or utilisation; queue is observed scheduling wait not a deadline; 39% of GPU-hours in CANCELLED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Philly DL training trace (ATC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https://github.com/msr-fiddle/philly-traces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production_job_log_and_per_minute_gpu_utilisation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(repository LICENSE)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downloaded_via_lfs_sha256_recorded_job_log_and_streamed_utilisation_audit_complete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 hardware; per-GPU per-minute utilisation with variable columns (DST duplicate rows truncated to first 8 values); 68% of GPU-hours in Failed/Killed jobs; no 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screening_table_from_archive_and_official_inputs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capacities unverified; Gansu large hydro absent from archive; Inner Mongolia grid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S0/S0b/S1/S2 smoke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uncalibrated_regional_smoke_test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pipeline_verified_results_not_empirical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unvalidated hourly load shape; archive capacities; placeholder tariff and external market; no unit commitment or coal minimum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Jiangsu grid 2020-2022 T&amp;D and retail tariff notice </w:t>
            </w:r>
            <w:r>
              <w:rPr>
                <w:rFonts w:hint="eastAsia"/>
              </w:rPr>
              <w:t xml:space="preserve">(苏发改价格发〔2020〕1183号)</w:t>
            </w:r>
            <w:r>
              <w:t xml:space="preserve"> incl. industrial TOU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https://www.njqxq.gov.cn/qxqrmzf/qxqfzhggj/202011/P020201111396651530459.pdf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official_tariff_document_scanned_pdf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government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pdf_saved_pages_read_values_transcribed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scanned images, transcribed by reading; 2021 effective date used for 2020 base year; market users pay market price + T&amp;D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Gansu 2020-12 notice on retail tariff adjustment and TOU optimisation (policy interpretation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http://www.gansu.gov.cn/art/2020/12/3/art_10359_474921.html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official_policy_interpretation_web_page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government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mirror_page_fetched_values_transcribed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gansu.gov.cn page returned HTTP 412 to fetch; mirror gsei.com.cn used; ratios not absolute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Guizhou TOU mechanism notice </w:t>
            </w:r>
            <w:r>
              <w:rPr>
                <w:rFonts w:hint="eastAsia"/>
              </w:rPr>
              <w:t xml:space="preserve">黔发改价格〔2023〕481号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https://fgw.guizhou.gov.cn/zwgk/zcwj/zcwj/202306/t20230628_80566840.html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official_notice_web_page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government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page_fetched_values_transcribed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rules used as nearest official structure; no 2020 Guizhou TOU document obtained; year mismatch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GEM-based unit-level 2020/2030 fleets for Gansu, Jiangsu, 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 of 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derived_unit_inventory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upstream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built_compared_with_archive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size thresholds (lower bound vs official); unknown start years excluded; pre-construction listed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Provincial 2030 S0/S1/S2/S3 scenario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public_data_scenario_with_documented_assumptions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pipeline_run_results_labelled_scenario_not_calibrated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load shape unvalidated (2018-derived); external-market proxy; committed-capacity must-run heuristic; RE existing = 2020 archive; no new coal; S3 event rule = &gt;20% above weekly median marginal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MLPerf Training v4.0 AC power logs (Supermicro 8xH100, llama2_70b_lora)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https://github.com/mlcommons/training_results_v4.0/tree/main/smc-ac-power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published_benchmark_power_measurements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MLCommons results repository (Apache-2.0)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downloaded_parsed_idle_active_extracted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node-level incl. non-GPU components; benchmark workload; one run downloaded so far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Open-Meteo historical weather API (ERA5-based) hourly 2015-2024 at GEM wind/solar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https://archive-api.open-meteo.com/v1/archive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reanalysis_weather_free_api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 (Open-Meteo; ERA5 Copernicus)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pulled_cached_converted_to_capacity_factors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power-curve and GHI conversions; level scaled to archive 2020 mean; not measured generation</w:t>
            </w:r>
          </w:p>
        </w:tc>
      </w:tr>
    </w:tbl>
    <w:bookmarkEnd w:id="9"/>
    <w:bookmarkStart w:id="10" w:name="s2.-model-verification-records"/>
    <w:p>
      <w:pPr>
        <w:pStyle w:val="Heading2"/>
      </w:pPr>
      <w:r>
        <w:t xml:space="preserve">S2. Model verification records</w:t>
      </w:r>
    </w:p>
    <w:p>
      <w:pPr>
        <w:pStyle w:val="FirstParagraph"/>
      </w:pPr>
      <w:r>
        <w:t xml:space="preserve">Joint planning–operation LP: see file checks (</w:t>
      </w:r>
      <w:r>
        <w:rPr>
          <w:rStyle w:val="VerbatimChar"/>
        </w:rPr>
        <w:t xml:space="preserve">coupled_grid_compute_validation.json</w:t>
      </w:r>
      <w:r>
        <w:t xml:space="preserve">); reservoir cascade extension: see file checks (</w:t>
      </w:r>
      <w:r>
        <w:rPr>
          <w:rStyle w:val="VerbatimChar"/>
        </w:rPr>
        <w:t xml:space="preserve">reservoir_coupling_validation.json</w:t>
      </w:r>
      <w:r>
        <w:t xml:space="preserve">); task model: 120 exhaustive assignment oracles and 256 diagnostic cases; commitment cost model: 72 frontiers, 360 points, dual/finite-difference checks.</w:t>
      </w:r>
    </w:p>
    <w:bookmarkEnd w:id="10"/>
    <w:bookmarkStart w:id="11" w:name="X4316effe1af71a75b2b98f09590bb17a29f2b8e"/>
    <w:p>
      <w:pPr>
        <w:pStyle w:val="Heading2"/>
      </w:pPr>
      <w:r>
        <w:t xml:space="preserve">S3. GEM-based 2020 and 2030 fleets, three provinces (MW)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3"/>
        <w:gridCol w:w="683"/>
        <w:gridCol w:w="626"/>
        <w:gridCol w:w="797"/>
        <w:gridCol w:w="2222"/>
        <w:gridCol w:w="797"/>
        <w:gridCol w:w="21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mw_2020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units_2020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mw_2030_operating_plus_construction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units_2030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mw_2030_preconstruction_announced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oil/gas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12798.4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28451.6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8632.1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oil/gas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13261.2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21955.2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oil/gas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1"/>
    <w:bookmarkStart w:id="12" w:name="s4.-peak-load-plausibility-check"/>
    <w:p>
      <w:pPr>
        <w:pStyle w:val="Heading2"/>
      </w:pPr>
      <w:r>
        <w:t xml:space="preserve">S4. Peak-load plausibility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1"/>
        <w:gridCol w:w="961"/>
        <w:gridCol w:w="2229"/>
        <w:gridCol w:w="845"/>
        <w:gridCol w:w="34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anchored_2020_peak_MW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reference_value_MW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</w:t>
            </w:r>
            <w:r>
              <w:rPr>
                <w:rFonts w:hint="eastAsia"/>
              </w:rPr>
              <w:t xml:space="preserve">年夏季与冬季最高调度负荷均突破</w:t>
            </w:r>
            <w:r>
              <w:t xml:space="preserve"> 1 </w:t>
            </w:r>
            <w:r>
              <w:rPr>
                <w:rFonts w:hint="eastAsia"/>
              </w:rPr>
              <w:t xml:space="preserve">亿千瓦（国网江苏，2021-01</w:t>
            </w:r>
            <w:r>
              <w:t xml:space="preserve"> </w:t>
            </w:r>
            <w:r>
              <w:rPr>
                <w:rFonts w:hint="eastAsia"/>
              </w:rPr>
              <w:t xml:space="preserve">报道）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in magnitude; exact value not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</w:t>
            </w:r>
            <w:r>
              <w:rPr>
                <w:rFonts w:hint="eastAsia"/>
              </w:rPr>
              <w:t xml:space="preserve">年全网最大用电负荷</w:t>
            </w:r>
            <w:r>
              <w:t xml:space="preserve"> 1766 </w:t>
            </w:r>
            <w:r>
              <w:rPr>
                <w:rFonts w:hint="eastAsia"/>
              </w:rPr>
              <w:t xml:space="preserve">万千瓦（北极星电力网转载）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2020 peak exceeds 2021 official peak by ~11%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贵州电网统调负荷</w:t>
            </w:r>
            <w:r>
              <w:t xml:space="preserve"> 2026-01 </w:t>
            </w:r>
            <w:r>
              <w:rPr>
                <w:rFonts w:hint="eastAsia"/>
              </w:rPr>
              <w:t xml:space="preserve">首次突破</w:t>
            </w:r>
            <w:r>
              <w:t xml:space="preserve"> 3000 </w:t>
            </w:r>
            <w:r>
              <w:rPr>
                <w:rFonts w:hint="eastAsia"/>
              </w:rPr>
              <w:t xml:space="preserve">万千瓦（央广网）；2025</w:t>
            </w:r>
            <w:r>
              <w:t xml:space="preserve"> </w:t>
            </w:r>
            <w:r>
              <w:rPr>
                <w:rFonts w:hint="eastAsia"/>
              </w:rPr>
              <w:t xml:space="preserve">年底最高</w:t>
            </w:r>
            <w:r>
              <w:t xml:space="preserve"> 2955.3 </w:t>
            </w:r>
            <w:r>
              <w:rPr>
                <w:rFonts w:hint="eastAsia"/>
              </w:rPr>
              <w:t xml:space="preserve">万千瓦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&lt;30000 in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2020 peak exceeds the 2026 record; 2020 peak must have been well below 31.3 GW</w:t>
            </w:r>
          </w:p>
        </w:tc>
      </w:tr>
    </w:tbl>
    <w:bookmarkEnd w:id="12"/>
    <w:bookmarkStart w:id="13" w:name="Xa3af96a82169ea043d473a41906a2c7118a1897"/>
    <w:p>
      <w:pPr>
        <w:pStyle w:val="Heading2"/>
      </w:pPr>
      <w:r>
        <w:t xml:space="preserve">S5. Multi-year renewable profiles: site coverage and agreement with archive 2020 profiles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0"/>
        <w:gridCol w:w="1120"/>
        <w:gridCol w:w="1942"/>
        <w:gridCol w:w="2017"/>
        <w:gridCol w:w="15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province_tech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level_scale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corr_with_archive_2020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top_site_capacity_share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n_operating_sites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</w:tr>
    </w:tbl>
    <w:bookmarkEnd w:id="13"/>
    <w:bookmarkStart w:id="14" w:name="Xeb08f5039d27fb94360491cc625572e54f55eb6"/>
    <w:p>
      <w:pPr>
        <w:pStyle w:val="Heading2"/>
      </w:pPr>
      <w:r>
        <w:t xml:space="preserve">S6. 2030 scenario gaps, fixed-price exchange proxy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"/>
        <w:gridCol w:w="390"/>
        <w:gridCol w:w="468"/>
        <w:gridCol w:w="546"/>
        <w:gridCol w:w="429"/>
        <w:gridCol w:w="429"/>
        <w:gridCol w:w="507"/>
        <w:gridCol w:w="429"/>
        <w:gridCol w:w="429"/>
        <w:gridCol w:w="663"/>
        <w:gridCol w:w="663"/>
        <w:gridCol w:w="741"/>
        <w:gridCol w:w="585"/>
        <w:gridCol w:w="585"/>
        <w:gridCol w:w="5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slack_mult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new_batt_S0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8517.51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8517.51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</w:tbl>
    <w:bookmarkEnd w:id="14"/>
    <w:bookmarkStart w:id="15" w:name="X07a6c3601dec0e7de82742a9c0a58efad16609f"/>
    <w:p>
      <w:pPr>
        <w:pStyle w:val="Heading2"/>
      </w:pPr>
      <w:r>
        <w:t xml:space="preserve">S7. 2030 scenario gaps, neighbour-aggregate exchange node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538"/>
        <w:gridCol w:w="646"/>
        <w:gridCol w:w="754"/>
        <w:gridCol w:w="592"/>
        <w:gridCol w:w="592"/>
        <w:gridCol w:w="700"/>
        <w:gridCol w:w="592"/>
        <w:gridCol w:w="915"/>
        <w:gridCol w:w="915"/>
        <w:gridCol w:w="10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slack_mult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</w:tr>
    </w:tbl>
    <w:bookmarkEnd w:id="15"/>
    <w:bookmarkStart w:id="16" w:name="X54ecab3dd034cb1761111db01b85622df6be40b"/>
    <w:p>
      <w:pPr>
        <w:pStyle w:val="Heading2"/>
      </w:pPr>
      <w:r>
        <w:t xml:space="preserve">S8. Multi-weather-year summary (constrained exchange, AI 10%)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4"/>
        <w:gridCol w:w="576"/>
        <w:gridCol w:w="792"/>
        <w:gridCol w:w="792"/>
        <w:gridCol w:w="792"/>
        <w:gridCol w:w="792"/>
        <w:gridCol w:w="792"/>
        <w:gridCol w:w="792"/>
        <w:gridCol w:w="864"/>
        <w:gridCol w:w="8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g02_min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g02_med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g02_max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g12_med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g12_max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curt_max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6"/>
    <w:bookmarkStart w:id="17" w:name="s9.-cost-parameter-monte-carlo-summary"/>
    <w:p>
      <w:pPr>
        <w:pStyle w:val="Heading2"/>
      </w:pPr>
      <w:r>
        <w:t xml:space="preserve">S9. Cost-parameter Monte Carlo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"/>
        <w:gridCol w:w="180"/>
        <w:gridCol w:w="201"/>
        <w:gridCol w:w="201"/>
        <w:gridCol w:w="201"/>
        <w:gridCol w:w="201"/>
        <w:gridCol w:w="201"/>
        <w:gridCol w:w="201"/>
        <w:gridCol w:w="201"/>
        <w:gridCol w:w="180"/>
        <w:gridCol w:w="201"/>
        <w:gridCol w:w="201"/>
        <w:gridCol w:w="201"/>
        <w:gridCol w:w="201"/>
        <w:gridCol w:w="201"/>
        <w:gridCol w:w="201"/>
        <w:gridCol w:w="201"/>
        <w:gridCol w:w="201"/>
        <w:gridCol w:w="222"/>
        <w:gridCol w:w="222"/>
        <w:gridCol w:w="222"/>
        <w:gridCol w:w="222"/>
        <w:gridCol w:w="222"/>
        <w:gridCol w:w="222"/>
        <w:gridCol w:w="222"/>
        <w:gridCol w:w="158"/>
        <w:gridCol w:w="180"/>
        <w:gridCol w:w="180"/>
        <w:gridCol w:w="180"/>
        <w:gridCol w:w="180"/>
        <w:gridCol w:w="180"/>
        <w:gridCol w:w="180"/>
        <w:gridCol w:w="180"/>
        <w:gridCol w:w="158"/>
        <w:gridCol w:w="180"/>
        <w:gridCol w:w="180"/>
        <w:gridCol w:w="180"/>
        <w:gridCol w:w="180"/>
        <w:gridCol w:w="180"/>
        <w:gridCol w:w="180"/>
        <w:gridCol w:w="1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Unnamed: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gap_S0_S2_pct.1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gap_S0_S2_pct.2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gap_S0_S2_pct.3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gap_S0_S2_pct.4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gap_S0_S2_pct.5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gap_S0_S2_pct.6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gap_S0_S2_pct.7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</w:tbl>
    <w:bookmarkEnd w:id="17"/>
    <w:bookmarkStart w:id="18" w:name="s10.-mechanism-v2"/>
    <w:p>
      <w:pPr>
        <w:pStyle w:val="Heading2"/>
      </w:pPr>
      <w:r>
        <w:t xml:space="preserve">S10. Mechanism v2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584"/>
        <w:gridCol w:w="584"/>
        <w:gridCol w:w="649"/>
        <w:gridCol w:w="584"/>
        <w:gridCol w:w="616"/>
        <w:gridCol w:w="1233"/>
        <w:gridCol w:w="811"/>
        <w:gridCol w:w="681"/>
        <w:gridCol w:w="616"/>
        <w:gridCol w:w="584"/>
        <w:gridCol w:w="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s3_saving_vs_S1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s3_compensation_floor_own_baseline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s3_mean_commitment_mw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s1rt_saving_vs_S1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ai_mwh_S1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ai_mwh_S1rt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1.57963e+08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1.57963e+08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1.57879e+08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1.57871e+08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83867.8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5.42674e+08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5.42687e+08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5.41997e+08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5.41905e+08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-12921.7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1.32549e+06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1.30375e+06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1.12379e+08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1.12378e+08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1.12198e+08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1.12147e+08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1326.84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12638.4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437173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3"/>
        <w:gridCol w:w="462"/>
        <w:gridCol w:w="693"/>
        <w:gridCol w:w="982"/>
        <w:gridCol w:w="693"/>
        <w:gridCol w:w="1271"/>
        <w:gridCol w:w="982"/>
        <w:gridCol w:w="21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commit_own_mw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comp_own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commit_inflated_mw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comp_inflated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inflated_minus_own_event_power_mw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50553.8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614.401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3336.81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2026-09-15T05:18:47Z</dcterms:created>
  <dcterms:modified xsi:type="dcterms:W3CDTF">2026-09-15T05:18:47Z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