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 w:val="0"/>
        </w:rPr>
        <w:t>Cover letter for Nature Energy</w:t>
      </w:r>
    </w:p>
    <w:p>
      <w:pPr>
        <w:spacing w:after="60"/>
        <w:jc w:val="left"/>
      </w:pPr>
      <w:r>
        <w:rPr>
          <w:b w:val="0"/>
        </w:rPr>
        <w:t>Draft for author review — not cleared for submission | 27 September 2026</w:t>
      </w:r>
    </w:p>
    <w:p>
      <w:pPr>
        <w:spacing w:after="60"/>
        <w:jc w:val="left"/>
      </w:pPr>
      <w:r>
        <w:rPr>
          <w:b w:val="0"/>
        </w:rPr>
        <w:t>Dear Editors,</w:t>
      </w:r>
    </w:p>
    <w:p>
      <w:pPr>
        <w:spacing w:after="60"/>
        <w:jc w:val="left"/>
      </w:pPr>
      <w:r>
        <w:rPr>
          <w:b w:val="0"/>
        </w:rPr>
        <w:t>We are preparing a substantially revised manuscript entitled “Service constraints and power boundaries shape the grid value of flexible AI computing”. This draft relates to manuscript NENERGY-26093649; the appropriate route for any revision must follow the journal's actual decision and instructions.</w:t>
      </w:r>
    </w:p>
    <w:p>
      <w:pPr>
        <w:spacing w:after="60"/>
        <w:jc w:val="left"/>
      </w:pPr>
      <w:r>
        <w:rPr>
          <w:b w:val="0"/>
        </w:rPr>
        <w:t>The study examines the conditions under which changes in AI operating mode and task timing can be interpreted as energy-system flexibility. A controlled four-policy comparison holds the task cohort and completion conditions fixed. Across 108 conditional GPU-model configurations, the attribution depends strongly on the allowed completion window; lower modeled energy use can coexist with higher hourly GPU demand. Analytical counterexamples show how cohort double counting can reverse a capacity conclusion and how linear procurement-response extrema can miss nonlinear commitment costs.</w:t>
      </w:r>
    </w:p>
    <w:p>
      <w:pPr>
        <w:spacing w:after="60"/>
        <w:jc w:val="left"/>
      </w:pPr>
      <w:r>
        <w:rPr>
          <w:b w:val="0"/>
        </w:rPr>
        <w:t>We believe that a fully validated version of this work could interest Nature Energy readers by clarifying the evidence needed to translate computing flexibility into power-system value. The present findings are conditional modeling and source-audit results. They do not yet demonstrate measured paired whole-node energy savings, production-SLA compliance or validated provincial capacity benefits. The revision must obtain these missing measurements and physical inputs and complete fixed-investment full-year evaluation before a submission-ready claim can be made.</w:t>
      </w:r>
    </w:p>
    <w:p>
      <w:pPr>
        <w:spacing w:after="60"/>
        <w:jc w:val="left"/>
      </w:pPr>
      <w:r>
        <w:rPr>
          <w:b w:val="0"/>
        </w:rPr>
        <w:t>This letter will be finalized only after the empirical results, uncertainty, reproducibility materials and final author declarations are complete. All-author approval, competing interests, related submissions and the status of the existing manuscript require confirmation; no declaration is made here on the authors' behalf.</w:t>
      </w:r>
    </w:p>
    <w:p>
      <w:pPr>
        <w:spacing w:after="60"/>
        <w:jc w:val="left"/>
      </w:pPr>
      <w:r>
        <w:rPr>
          <w:b w:val="0"/>
        </w:rPr>
        <w:t>Sincerely,</w:t>
      </w:r>
    </w:p>
    <w:p>
      <w:pPr>
        <w:spacing w:after="60"/>
        <w:jc w:val="left"/>
      </w:pPr>
      <w:r>
        <w:rPr>
          <w:b w:val="0"/>
        </w:rPr>
        <w:t>William Wei and Lanlan Liu</w:t>
      </w:r>
    </w:p>
    <w:p>
      <w:pPr>
        <w:spacing w:after="60"/>
        <w:jc w:val="left"/>
      </w:pPr>
      <w:r>
        <w:rPr>
          <w:b w:val="0"/>
        </w:rPr>
        <w:t>Correspondence: qkfp0742@leeds.ac.uk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5A5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color w:val="5A5A5A"/>
        <w:sz w:val="17"/>
      </w:rPr>
      <w:t>Cover letter |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59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for Nature Energy</dc:title>
  <dc:subject>Revision v1.8; not submission-ready</dc:subject>
  <dc:creator>William Wei; Lanlan Liu</dc:creator>
  <cp:keywords/>
  <dc:description>Prepared as an evidence-bounded review manuscript on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