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w:t>
      </w:r>
      <w:r>
        <w:rPr>
          <w:rFonts w:hint="eastAsia"/>
          <w:b/>
          <w:bCs/>
        </w:rPr>
        <w:t xml:space="preserve">，刘岚岚</w:t>
      </w:r>
      <w:r>
        <w:rPr>
          <w:b/>
          <w:bCs/>
          <w:vertAlign w:val="superscript"/>
        </w:rPr>
        <w:t xml:space="preserve">2</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w:t>
      </w:r>
      <w:r>
        <w:t xml:space="preserve"> LS2 </w:t>
      </w:r>
      <w:r>
        <w:rPr>
          <w:rFonts w:hint="eastAsia"/>
        </w:rPr>
        <w:t xml:space="preserve">9JT；2.</w:t>
      </w:r>
      <w:r>
        <w:t xml:space="preserve"> </w:t>
      </w:r>
      <w:r>
        <w:rPr>
          <w:rFonts w:hint="eastAsia"/>
        </w:rPr>
        <w:t xml:space="preserve">福建师范大学</w:t>
      </w:r>
      <w:r>
        <w:t xml:space="preserve"> </w:t>
      </w:r>
      <w:r>
        <w:rPr>
          <w:rFonts w:hint="eastAsia"/>
        </w:rPr>
        <w:t xml:space="preserve">公共管理学院，福建省</w:t>
      </w:r>
      <w:r>
        <w:t xml:space="preserve"> </w:t>
      </w:r>
      <w:r>
        <w:rPr>
          <w:rFonts w:hint="eastAsia"/>
        </w:rPr>
        <w:t xml:space="preserve">福州市</w:t>
      </w:r>
      <w:r>
        <w:t xml:space="preserve"> </w:t>
      </w:r>
      <w:r>
        <w:rPr>
          <w:rFonts w:hint="eastAsia"/>
        </w:rPr>
        <w:t xml:space="preserve">350007）</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降档运行以减少单位工作量能耗，也可在时间上转移，二者的系统价值来源不同。本文在同等工作量与可靠性下，将实测图形处理器（GPU）功率档位、作业轨迹、投资—运行联合规划模型与企业行为纳入同一框架，以甘肃、江苏、贵州</w:t>
      </w:r>
      <w:r>
        <w:t xml:space="preserve"> 2030 </w:t>
      </w:r>
      <w:r>
        <w:rPr>
          <w:rFonts w:hint="eastAsia"/>
        </w:rPr>
        <w:t xml:space="preserve">年公开数据情景分析分时电价形状、事件型合同与按系统边际成本定价对时间转移价值兑现的影响。孤岛情景下系统协调相对刚性运行可降低算力负荷增量系统成本</w:t>
      </w:r>
      <w:r>
        <w:t xml:space="preserve"> </w:t>
      </w:r>
      <w:r>
        <w:rPr>
          <w:rFonts w:hint="eastAsia"/>
        </w:rPr>
        <w:t xml:space="preserve">13.6%～28.5%，高效档位不作转移即可获得绝大部分；时间转移剩余价值仅为增量成本的</w:t>
      </w:r>
      <w:r>
        <w:t xml:space="preserve"> </w:t>
      </w:r>
      <w:r>
        <w:rPr>
          <w:rFonts w:hint="eastAsia"/>
        </w:rPr>
        <w:t xml:space="preserve">0.1%～4.4%，省间交换时低于</w:t>
      </w:r>
      <w:r>
        <w:t xml:space="preserve"> </w:t>
      </w:r>
      <w:r>
        <w:rPr>
          <w:rFonts w:hint="eastAsia"/>
        </w:rPr>
        <w:t xml:space="preserve">0.4%。按现行分时电价优化时，18</w:t>
      </w:r>
      <w:r>
        <w:t xml:space="preserve"> </w:t>
      </w:r>
      <w:r>
        <w:rPr>
          <w:rFonts w:hint="eastAsia"/>
        </w:rPr>
        <w:t xml:space="preserve">组孤岛设定中</w:t>
      </w:r>
      <w:r>
        <w:t xml:space="preserve"> 14 </w:t>
      </w:r>
      <w:r>
        <w:rPr>
          <w:rFonts w:hint="eastAsia"/>
        </w:rPr>
        <w:t xml:space="preserve">组的时间转移为负价值；叠加事件型合同不能改善且暴露于基线操纵；按系统边际成本形状定价在除</w:t>
      </w:r>
      <w:r>
        <w:t xml:space="preserve"> 1 </w:t>
      </w:r>
      <w:r>
        <w:rPr>
          <w:rFonts w:hint="eastAsia"/>
        </w:rPr>
        <w:t xml:space="preserve">组外的全部设定回收转移价值，与协调最优差距不超过</w:t>
      </w:r>
      <w:r>
        <w:t xml:space="preserve"> </w:t>
      </w:r>
      <w:r>
        <w:rPr>
          <w:rFonts w:hint="eastAsia"/>
        </w:rPr>
        <w:t xml:space="preserve">2.6%。近期应优先释放档位价值，时间转移需要形状正确的价格而非叠加合同。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p>
      <w:pPr>
        <w:pStyle w:val="BodyText"/>
      </w:pPr>
      <w:r>
        <w:rPr>
          <w:b/>
          <w:bCs/>
        </w:rPr>
        <w:t xml:space="preserve">Shape of Time-of-Use Tariffs and the Value of Temporal Shifting of AI Computing Load: A Scenario Analysis for Chinese Provincial Power Systems</w:t>
      </w:r>
    </w:p>
    <w:p>
      <w:pPr>
        <w:pStyle w:val="BodyText"/>
      </w:pPr>
      <w:r>
        <w:t xml:space="preserve">WEI Hong (William Wei)</w:t>
      </w:r>
      <w:r>
        <w:rPr>
          <w:vertAlign w:val="superscript"/>
        </w:rPr>
        <w:t xml:space="preserve">1</w:t>
      </w:r>
      <w:r>
        <w:t xml:space="preserve">, LIU Lanlan</w:t>
      </w:r>
      <w:r>
        <w:rPr>
          <w:vertAlign w:val="superscript"/>
        </w:rPr>
        <w:t xml:space="preserve">2</w:t>
      </w:r>
    </w:p>
    <w:p>
      <w:pPr>
        <w:pStyle w:val="BodyText"/>
      </w:pPr>
      <w:r>
        <w:t xml:space="preserve">(1. School of Computer Science, Faculty of Engineering and Physical Sciences, University of Leeds, Leeds LS2 9JT, UK; 2. School of Public Administration, Fujian Normal University, Fuzhou 350007, Fujian Province, China)</w:t>
      </w:r>
    </w:p>
    <w:p>
      <w:pPr>
        <w:pStyle w:val="BodyText"/>
      </w:pPr>
      <w:r>
        <w:rPr>
          <w:b/>
          <w:bCs/>
        </w:rPr>
        <w:t xml:space="preserve">ABSTRACT:</w:t>
      </w:r>
      <w:r>
        <w:t xml:space="preserve"> </w:t>
      </w:r>
      <w:r>
        <w:t xml:space="preserve">Artificial intelligence (AI) computing load can lower the energy per unit of work by running at lower power modes, or shift execution in time; the two levers create power-system value in different ways. For the same computing work and the same supply reliability, this paper combines measured graphics processing unit (GPU) power modes, production-cluster job traces, a joint investment–dispatch planning model and firm behaviour under tariffs and contracts in one framework, applied to a 2030 public-data scenario for Gansu, Jiangsu and Guizhou, and analyses how the shape of time-of-use tariffs, an event-based commitment contract and a price shaped like the system marginal cost affect the realisation of shifting value. In islanded provinces, system coordination lowers the incremental system cost of the AI load by 13.6%–28.5% relative to rigid operation, and efficient modes without any shifting deliver almost all of it; the remaining shifting value is only 0.1%–4.4% of the incremental cost, and below 0.4% with interprovincial exchange. A firm optimising against the current time-of-use tariff shapes gives shifting a negative value in 14 of 18 islanded settings; an event-based commitment contract layered on the tariff does not repair this and is exposed to baseline manipulation; an hourly price shaped like the system marginal cost recovers shifting value in all but 1 setting and keeps total cost within 2.6% of the coordinated optimum. In the near term, the value of efficient modes should be released first; temporal shifting requires prices of the right shape rather than contracts layered on today’s tariffs.</w:t>
      </w:r>
    </w:p>
    <w:p>
      <w:pPr>
        <w:pStyle w:val="BodyText"/>
      </w:pPr>
      <w:r>
        <w:rPr>
          <w:b/>
          <w:bCs/>
        </w:rPr>
        <w:t xml:space="preserve">KEY WORDS:</w:t>
      </w:r>
      <w:r>
        <w:t xml:space="preserve"> </w:t>
      </w:r>
      <w:r>
        <w:t xml:space="preserve">AI computing load; data centre; demand response; time-of-use tariff; load flexibility; power system planning; mechanism design</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11.2%～25.1%，故不按单位电量比较。“转移价值”定义为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增量成本的比例；“转移价值兑现份额”定义为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10.5281/zenodo.22803800，指向最新版本；本文对应版本标签</w:t>
      </w:r>
      <w:r>
        <w:t xml:space="preserve"> </w:t>
      </w:r>
      <w:r>
        <w:rPr>
          <w:rFonts w:hint="eastAsia"/>
        </w:rPr>
        <w:t xml:space="preserve">v1.0.3）。</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人工智能专业硕士研究生，利兹大学工程与物理科学学部计算机科学学院、空间计算（福建）科技有限公司，qkfp0742@leeds.ac.uk；刘岚岚（1998—），女，公共管理专业硕士研究生，福建师范大学公共管理学院。</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“东数西算”全面启动</w:t>
      </w:r>
      <w:r>
        <w:t xml:space="preserve"> </w:t>
      </w:r>
      <w:r>
        <w:rPr>
          <w:rFonts w:hint="eastAsia"/>
        </w:rPr>
        <w:t xml:space="preserve">八枢纽激发数据新活力[EB/OL].</w:t>
      </w:r>
      <w:r>
        <w:t xml:space="preserve"> (2022-03-21)[2026-09-17]. https://www.ndrc.gov.cn/fzggw/jgsj/gjss/sjdt/202203/t20220321_1319862.html.</w:t>
      </w:r>
      <w:r>
        <w:t xml:space="preserve"> </w:t>
      </w:r>
      <w:r>
        <w:t xml:space="preserve">National Development and Reform Commission, High-Technology Department.</w:t>
      </w:r>
      <w:r>
        <w:t xml:space="preserve"> </w:t>
      </w:r>
      <w:r>
        <w:t xml:space="preserve">“Eastern Data, Western Computing”</w:t>
      </w:r>
      <w:r>
        <w:t xml:space="preserve"> </w:t>
      </w:r>
      <w:r>
        <w:t xml:space="preserve">fully launched: eight hubs energise data[EB/OL]. (2022-03-21)[2026-09-17]. https://www.ndrc.gov.cn/fzggw/jgsj/gjss/sjdt/202203/t20220321_1319862.html (in Chinese).</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https://doi.org/10.21203/rs.3.rs-9829457/v1.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computing[Z/OL]. Zenodo, 2026[2026-09-17]. https://doi.org/10.5281/zenodo.22804268. </w:t>
      </w:r>
      <w:r>
        <w:rPr>
          <w:rFonts w:hint="eastAsia"/>
        </w:rPr>
        <w:t xml:space="preserve">已投稿</w:t>
      </w:r>
      <w:r>
        <w:t xml:space="preserve"> Nature </w:t>
      </w:r>
      <w:r>
        <w:rPr>
          <w:rFonts w:hint="eastAsia"/>
        </w:rPr>
        <w:t xml:space="preserve">Energy，稿件编号</w:t>
      </w:r>
      <w:r>
        <w:t xml:space="preserve"> </w:t>
      </w:r>
      <w:r>
        <w:rPr>
          <w:rFonts w:hint="eastAsia"/>
        </w:rPr>
        <w:t xml:space="preserve">NENERGY-26093649，审稿中.</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r>
        <w:t xml:space="preserve"> </w:t>
      </w:r>
      <w:r>
        <w:t xml:space="preserve">National Bureau of Statistics of China. China Statistical Yearbook 2021: Table 9-14 electricity consumption by region[M]. Beijing: China Statistics Press, 2021 (in Chinese).</w:t>
      </w:r>
    </w:p>
    <w:p>
      <w:pPr>
        <w:pStyle w:val="BodyText"/>
      </w:pPr>
      <w:r>
        <w:t xml:space="preserve">[19] Potsdam Institute for Climate Impact Research. Data bundle PyPSA-China-PIK: rasters and basic cutout, v1.1 (containing the Global Energy Monitor Global Integrated Power Tracker, July 2025, China subset)[DS/OL].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2026-09-17T06:05:03Z</dcterms:created>
  <dcterms:modified xsi:type="dcterms:W3CDTF">2026-09-17T06:05:03Z</dcterms:modified>
</cp:coreProperties>
</file>

<file path=docProps/custom.xml><?xml version="1.0" encoding="utf-8"?>
<Properties xmlns="http://schemas.openxmlformats.org/officeDocument/2006/custom-properties" xmlns:vt="http://schemas.openxmlformats.org/officeDocument/2006/docPropsVTypes"/>
</file>