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pPr>
      <w:r>
        <w:rPr>
          <w:rFonts w:ascii="Times New Roman" w:hAnsi="Times New Roman"/>
          <w:b/>
          <w:i w:val="0"/>
          <w:sz w:val="24"/>
        </w:rPr>
        <w:t>2.0 LITERATURE REVIEW</w:t>
      </w:r>
    </w:p>
    <w:p>
      <w:pPr>
        <w:pStyle w:val="Heading2"/>
      </w:pPr>
      <w:r>
        <w:rPr>
          <w:rFonts w:ascii="Times New Roman" w:hAnsi="Times New Roman"/>
          <w:b/>
          <w:i w:val="0"/>
          <w:sz w:val="24"/>
        </w:rPr>
        <w:t>2.1 Geopolitical risk and tourism demand</w:t>
      </w:r>
    </w:p>
    <w:p>
      <w:pPr/>
      <w:r>
        <w:rPr>
          <w:rFonts w:ascii="Times New Roman" w:hAnsi="Times New Roman"/>
          <w:b w:val="0"/>
          <w:i w:val="0"/>
          <w:sz w:val="24"/>
        </w:rPr>
        <w:t>Geopolitical risk refers to the threat, occurrence and escalation of wars, terrorism and tensions among states or political actors. Caldara and Iacoviello (2022) measure it through a news-based index that distinguishes threats from realised events. For tourism, geopolitical risk may change perceived safety, trigger travel advisories, interrupt air routes, raise operating costs or cause destination substitution. These effects need not originate inside the destination because global conflicts can alter route availability, energy prices and household confidence.</w:t>
      </w:r>
    </w:p>
    <w:p>
      <w:pPr/>
      <w:r>
        <w:rPr>
          <w:rFonts w:ascii="Times New Roman" w:hAnsi="Times New Roman"/>
          <w:b w:val="0"/>
          <w:i w:val="0"/>
          <w:sz w:val="24"/>
        </w:rPr>
        <w:t>The empirical literature generally reports a negative relationship, but the size, timing and direction vary across countries. Using monthly data for 16 countries, Lee et al. (2021) found that geopolitical risk reduced long-run tourism demand after allowing for cross-country heterogeneity. Their country-level tests found no causal relationship between GPR and Malaysia's inbound tourist numbers, although tourism receipts showed a different pattern. Papagianni et al. (2024) likewise found persistent negative responses in most of 14 emerging and developing economies, with the strongest historical effects concentrated in markets such as China, Indonesia and Thailand. The evidence therefore does not support one effect for every destination and source market.</w:t>
      </w:r>
    </w:p>
    <w:p>
      <w:pPr/>
      <w:r>
        <w:rPr>
          <w:rFonts w:ascii="Times New Roman" w:hAnsi="Times New Roman"/>
          <w:b w:val="0"/>
          <w:i w:val="0"/>
          <w:sz w:val="24"/>
        </w:rPr>
        <w:t>This distinction matters because Malaysia combines neighbouring markets, for which land travel is important, with long-haul markets that depend on air connectivity. Responses may also differ by income, trip purpose and exposure to an event, which national totals can conceal. The present study therefore models monthly arrivals for 20 source markets, includes global and Malaysia-specific GPR, and uses country interactions to examine whether the controlled association differs across markets.</w:t>
      </w:r>
    </w:p>
    <w:p>
      <w:pPr/>
      <w:r>
        <w:rPr>
          <w:rFonts w:ascii="Times New Roman" w:hAnsi="Times New Roman"/>
          <w:b w:val="0"/>
          <w:i w:val="0"/>
          <w:sz w:val="24"/>
        </w:rPr>
        <w:t>Interpretation must remain cautious because GPR may move with economic conditions, energy prices, the post-pandemic recovery and omitted factors. A predictive relationship is not evidence that GPR caused a change in arrivals. This project treats GPR as a forecasting signal and interprets Ridge coefficients and SHAP values as model-based associations, not causal effects.</w:t>
      </w:r>
    </w:p>
    <w:p>
      <w:pPr>
        <w:pStyle w:val="Heading2"/>
      </w:pPr>
      <w:r>
        <w:rPr>
          <w:rFonts w:ascii="Times New Roman" w:hAnsi="Times New Roman"/>
          <w:b/>
          <w:i w:val="0"/>
          <w:sz w:val="24"/>
        </w:rPr>
        <w:t>2.2 Oil Prices, Transport Costs and Tourism Demand</w:t>
      </w:r>
    </w:p>
    <w:p>
      <w:pPr/>
      <w:r>
        <w:rPr>
          <w:rFonts w:ascii="Times New Roman" w:hAnsi="Times New Roman"/>
          <w:b w:val="0"/>
          <w:i w:val="0"/>
          <w:sz w:val="24"/>
        </w:rPr>
        <w:t>Transport forms part of the full price of an international trip, so higher airfares or surface-travel costs can reduce the budget available at the destination. Oil matters because jet fuel and motor fuel are major transport inputs. Becken and Lennox (2012) showed that sustained oil-price increases can lower tourism exports through interacting transport-cost, income and exchange-rate effects. Evidence from 23 European countries estimated an average tourist-arrival elasticity of about -0.2 and found persistent negative effects from supply-driven oil-price increases (Boto-Garcia, 2025). The estimate is context-specific but supports including energy prices in short-term demand models.</w:t>
      </w:r>
    </w:p>
    <w:p>
      <w:pPr/>
      <w:r>
        <w:rPr>
          <w:rFonts w:ascii="Times New Roman" w:hAnsi="Times New Roman"/>
          <w:b w:val="0"/>
          <w:i w:val="0"/>
          <w:sz w:val="24"/>
        </w:rPr>
        <w:t>Oil is an imperfect proxy for the price a traveller pays. Airlines hedge fuel, vary surcharges and change capacity, while land travellers may face regulated retail prices. Seetaram (2010) cautions that crude oil, distance and published airfares can each introduce measurement error as transport-cost proxies. Malaysian evidence is also mixed: Tan and Soon (2023) found regional differences in price responses and no uniform reduction in demand from measured travel costs.</w:t>
      </w:r>
    </w:p>
    <w:p>
      <w:pPr/>
      <w:r>
        <w:rPr>
          <w:rFonts w:ascii="Times New Roman" w:hAnsi="Times New Roman"/>
          <w:b w:val="0"/>
          <w:i w:val="0"/>
          <w:sz w:val="24"/>
        </w:rPr>
        <w:t>Malaysia's market structure favours a combined treatment. In 2024, 41.0% of tourists arrived by air and 52.4% by land (Tourism Malaysia, 2025). Brent crude can represent global transport-cost pressure, whereas Malaysian retail fuel prices are more relevant to road travel. Including both indicators allows possible cost transmission without assuming that Brent changes pass immediately or equally to every market.</w:t>
      </w:r>
    </w:p>
    <w:p>
      <w:pPr>
        <w:pStyle w:val="Heading2"/>
      </w:pPr>
      <w:r>
        <w:rPr>
          <w:rFonts w:ascii="Times New Roman" w:hAnsi="Times New Roman"/>
          <w:b/>
          <w:i w:val="0"/>
          <w:sz w:val="24"/>
        </w:rPr>
        <w:t>2.3 Exchange Rates and Malaysia's Destination Affordability</w:t>
      </w:r>
    </w:p>
    <w:p>
      <w:pPr/>
      <w:r>
        <w:rPr>
          <w:rFonts w:ascii="Times New Roman" w:hAnsi="Times New Roman"/>
          <w:b w:val="0"/>
          <w:i w:val="0"/>
          <w:sz w:val="24"/>
        </w:rPr>
        <w:t>Exchange rates influence the amount of Malaysian goods and services that a visitor can purchase with income earned in the origin country. In the standard tourism-demand framework, a depreciation of the ringgit should make Malaysia more affordable and support inbound demand, while an appreciation should reduce price competitiveness. Exchange-rate volatility can also matter because uncertainty about the final cost of a trip may delay booking, shorten the intended stay or shift demand to a substitute destination. Reviews of tourism-demand research therefore identify origin income, destination prices and bilateral exchange rates as core explanatory variables (Song &amp; Li, 2008). Evidence based on disaggregated source markets further shows that both the exchange-rate level and its volatility can affect demand differently across origins (Imamboccus et al., 2024).</w:t>
      </w:r>
    </w:p>
    <w:p>
      <w:pPr/>
      <w:r>
        <w:rPr>
          <w:rFonts w:ascii="Times New Roman" w:hAnsi="Times New Roman"/>
          <w:b w:val="0"/>
          <w:i w:val="0"/>
          <w:sz w:val="24"/>
        </w:rPr>
        <w:t>Malaysia-specific studies caution against a simple weaker-ringgit-equals-more-tourists conclusion. Karimi et al. (2019) found asymmetric long-run effects: both appreciations and depreciations were associated with lower inbound arrivals in some specifications, which the authors linked to price rigidity and destination substitution. Using 21 origin countries, Tan and Soon (2023) found that ringgit depreciation increased demand from ASEAN markets but produced the opposite response for China, other Asian markets and Western countries. Exchange-rate movements may coincide with changes in income, confidence, airfares and relative prices in competing destinations, while tourism businesses may not pass currency changes fully to visitors.</w:t>
      </w:r>
    </w:p>
    <w:p>
      <w:pPr/>
      <w:r>
        <w:rPr>
          <w:rFonts w:ascii="Times New Roman" w:hAnsi="Times New Roman"/>
          <w:b w:val="0"/>
          <w:i w:val="0"/>
          <w:sz w:val="24"/>
        </w:rPr>
        <w:t>These findings support bilateral rather than aggregate exchange rates. The same ringgit movement changes affordability differently for visitors paid in Singapore dollars, Chinese yuan or US dollars. A pooled source-market model retains this variation while borrowing information across the panel. Exchange rates are therefore treated as indicators of market-specific affordability, not isolated causal determinants.</w:t>
      </w:r>
    </w:p>
    <w:p>
      <w:pPr>
        <w:pStyle w:val="Heading2"/>
      </w:pPr>
      <w:r>
        <w:rPr>
          <w:rFonts w:ascii="Times New Roman" w:hAnsi="Times New Roman"/>
          <w:b/>
          <w:i w:val="0"/>
          <w:sz w:val="24"/>
        </w:rPr>
        <w:t>2.4 Malaysian Tourism Resilience, Economic Conditions and SDG Alignment</w:t>
      </w:r>
    </w:p>
    <w:p>
      <w:pPr/>
      <w:r>
        <w:rPr>
          <w:rFonts w:ascii="Times New Roman" w:hAnsi="Times New Roman"/>
          <w:b w:val="0"/>
          <w:i w:val="0"/>
          <w:sz w:val="24"/>
        </w:rPr>
        <w:t>Malaysia's tourism sector has recovered strongly from the pandemic, but the recovery also demonstrates its exposure to large external shocks. Tourist arrivals reached 25,016,698 in 2024, 24.2% above 2023 but still 4.2% below 2019 (Tourism Malaysia, 2025). By 2025, tourism industries generated RM323.0 billion in value added, equal to 15.9% of national GDP, and tourism-related industries employed 3.7 million people (Department of Statistics Malaysia [DOSM], 2026). Forecast errors therefore have practical consequences for staffing, transport capacity, marketing and the timing of public support.</w:t>
      </w:r>
    </w:p>
    <w:p>
      <w:pPr/>
      <w:r>
        <w:rPr>
          <w:rFonts w:ascii="Times New Roman" w:hAnsi="Times New Roman"/>
          <w:b w:val="0"/>
          <w:i w:val="0"/>
          <w:sz w:val="24"/>
        </w:rPr>
        <w:t>Recovery in aggregate arrivals does not mean that vulnerability has disappeared. Evidence from Penang shows that COVID-19 exposed labour precarity and complex supply-chain weaknesses, contributing to a slower tourism recovery than in less labour-intensive sectors (Hampton et al., 2023). Market composition also matters: dependence on a small number of source countries can make local businesses vulnerable when health, economic or geopolitical shocks affect those markets. Forecasts by source country can help destination managers identify whether weakness is broad-based or concentrated and can support earlier adjustment of marketing, connectivity and workforce plans.</w:t>
      </w:r>
    </w:p>
    <w:p>
      <w:pPr/>
      <w:r>
        <w:rPr>
          <w:rFonts w:ascii="Times New Roman" w:hAnsi="Times New Roman"/>
          <w:b w:val="0"/>
          <w:i w:val="0"/>
          <w:sz w:val="24"/>
        </w:rPr>
        <w:t>This decision-support role is consistent with Malaysia's National Tourism Policy 2020-2030, which places competitiveness, sustainability and inclusiveness at the centre of sector transformation and identifies smart tourism and responsible tourism as implementation strategies (Ministry of Tourism, Arts and Culture Malaysia [MOTAC], 2020). It also relates to Sustainable Development Goal target 8.9, which calls for policies that promote sustainable tourism, create jobs and support local culture and products, and target 12.b, which calls for tools that monitor the sustainable-development impacts of tourism (United Nations Department of Economic and Social Affairs [UN DESA], n.d.).</w:t>
      </w:r>
    </w:p>
    <w:p>
      <w:pPr/>
      <w:r>
        <w:rPr>
          <w:rFonts w:ascii="Times New Roman" w:hAnsi="Times New Roman"/>
          <w:b w:val="0"/>
          <w:i w:val="0"/>
          <w:sz w:val="24"/>
        </w:rPr>
        <w:t>Demand forecasting does not establish environmental or social sustainability. Its contribution is operational: timely market-level information can reduce avoidable over- or under-provision of capacity and support planning for volatility. The dashboard should present forecasts with their coverage and limitations, while policy decisions combine them with environmental, community and labour indicators. Higher visitor numbers alone are not a measure of sustainable progress.</w:t>
      </w:r>
    </w:p>
    <w:p>
      <w:pPr>
        <w:pStyle w:val="Heading2"/>
      </w:pPr>
      <w:r>
        <w:rPr>
          <w:rFonts w:ascii="Times New Roman" w:hAnsi="Times New Roman"/>
          <w:b/>
          <w:i w:val="0"/>
          <w:sz w:val="24"/>
        </w:rPr>
        <w:t>2.5 Machine-Learning Approaches and Research Gap</w:t>
      </w:r>
    </w:p>
    <w:p>
      <w:pPr/>
      <w:r>
        <w:rPr>
          <w:rFonts w:ascii="Times New Roman" w:hAnsi="Times New Roman"/>
          <w:b w:val="0"/>
          <w:i w:val="0"/>
          <w:sz w:val="24"/>
        </w:rPr>
        <w:t>Tourism demand is seasonal, persistent and sensitive to shocks. Traditional approaches include naive and seasonal-naive benchmarks, exponential smoothing, autoregressive models and econometric demand equations. Machine-learning methods add flexibility by learning nonlinearities and interactions among lags, seasonality, prices and external indicators. However, reviews have repeatedly concluded that no method dominates across all destinations, data frequencies and forecast horizons (Song &amp; Li, 2008). A meta-analysis likewise found that origin market, destination, sample size, frequency, variables and horizon all influence comparative accuracy (Peng et al., 2014). Model choice must therefore be based on out-of-sample evidence for the actual forecasting task.</w:t>
      </w:r>
    </w:p>
    <w:p>
      <w:pPr/>
      <w:r>
        <w:rPr>
          <w:rFonts w:ascii="Times New Roman" w:hAnsi="Times New Roman"/>
          <w:b w:val="0"/>
          <w:i w:val="0"/>
          <w:sz w:val="24"/>
        </w:rPr>
        <w:t>Pooling is useful when many related series have short histories. A global model estimates one forecasting function across all markets, allowing smaller series to contribute to and benefit from a larger training set. Montero-Manso and Hyndman (2021) show that global models can generalise well across groups of series and are not inherently more restrictive than fitting a separate local model to each series. Tourism evidence adds an important qualification: simple pooling may perform poorly when market heterogeneity is ignored, while fixed, spatial or temporal effects can restore accuracy (Long et al., 2019). The present study addresses this issue through a country identifier, market features and GPR-by-country interactions rather than assuming identical market responses.</w:t>
      </w:r>
    </w:p>
    <w:p>
      <w:pPr/>
      <w:r>
        <w:rPr>
          <w:rFonts w:ascii="Times New Roman" w:hAnsi="Times New Roman"/>
          <w:b w:val="0"/>
          <w:i w:val="0"/>
          <w:sz w:val="24"/>
        </w:rPr>
        <w:t>LightGBM is suitable for this tabular panel because gradient-boosted trees can represent nonlinear thresholds and interactions across mixed feature types (Ke et al., 2017). Its use is also supported by the M5 forecasting competition, where LightGBM-based methods handled many correlated series and exogenous variables effectively, although that retail evidence does not guarantee superiority in tourism (Makridakis et al., 2022). Ridge regression provides a more transparent regularised comparison, while naive-last and seasonal-naive forecasts remain essential benchmarks. Interpretability tools such as SHAP assign feature contributions to individual predictions (Lundberg &amp; Lee, 2017), but those contributions explain model behaviour and do not identify causal effects.</w:t>
      </w:r>
    </w:p>
    <w:p>
      <w:pPr/>
      <w:r>
        <w:rPr>
          <w:rFonts w:ascii="Times New Roman" w:hAnsi="Times New Roman"/>
          <w:b w:val="0"/>
          <w:i w:val="0"/>
          <w:sz w:val="24"/>
        </w:rPr>
        <w:t>Validation design is as important as algorithm choice. Rolling-origin evaluation reproduces repeated real-time forecast decisions and provides errors at each lead time (Tashman, 2000). This is preferable to random train-test splitting, which can leak future information into a time-series evaluation. Separate reporting by horizon is also necessary because performance may deteriorate as the forecast extends. MAE and RMSE retain the scale of arrivals; MAPE is less suitable where small source markets contain values near zero because percentage errors can become unstable (Hyndman &amp; Koehler, 2006).</w:t>
      </w:r>
    </w:p>
    <w:p>
      <w:pPr/>
      <w:r>
        <w:rPr>
          <w:rFonts w:ascii="Times New Roman" w:hAnsi="Times New Roman"/>
          <w:b w:val="0"/>
          <w:i w:val="0"/>
          <w:sz w:val="24"/>
        </w:rPr>
        <w:t>The literature leaves a specific applied gap. Malaysian studies mainly estimate long-run or aggregate relationships, while forecasting studies rarely combine monthly source-market arrivals with bilateral exchange rates, global and Malaysian GPR, energy prices, publication lags and post-COVID stress testing. This project addresses that gap through a pooled direct model for 20 markets and one- to four-month horizons, evaluated against transparent benchmarks with rolling-origin tests. It does not presume that external indicators improve every horizon; it tests their value using only information available at each forecast origin.</w:t>
      </w:r>
    </w:p>
    <w:p>
      <w:r>
        <w:br w:type="page"/>
      </w:r>
    </w:p>
    <w:p>
      <w:pPr>
        <w:pStyle w:val="Heading1"/>
        <w:spacing w:before="0"/>
      </w:pPr>
      <w:r>
        <w:rPr>
          <w:rFonts w:ascii="Times New Roman" w:hAnsi="Times New Roman"/>
          <w:b/>
          <w:i w:val="0"/>
          <w:sz w:val="24"/>
        </w:rPr>
        <w:t>REFERENCES</w:t>
      </w:r>
    </w:p>
    <w:p>
      <w:pPr>
        <w:pStyle w:val="Reference"/>
      </w:pPr>
      <w:r>
        <w:rPr>
          <w:rFonts w:ascii="Times New Roman" w:hAnsi="Times New Roman"/>
          <w:b w:val="0"/>
          <w:i w:val="0"/>
          <w:sz w:val="24"/>
        </w:rPr>
        <w:t>Becken, S., &amp; Lennox, J. (2012). Implications of a long-term increase in oil prices for tourism. Tourism Management, 33(1), 133-142. https://doi.org/10.1016/j.tourman.2011.02.012</w:t>
      </w:r>
    </w:p>
    <w:p>
      <w:pPr>
        <w:pStyle w:val="Reference"/>
      </w:pPr>
      <w:r>
        <w:rPr>
          <w:rFonts w:ascii="Times New Roman" w:hAnsi="Times New Roman"/>
          <w:b w:val="0"/>
          <w:i w:val="0"/>
          <w:sz w:val="24"/>
        </w:rPr>
        <w:t>Boto-Garcia, D. (2025). The elasticity of tourist arrivals to oil prices. Tourism Economics. Advance online publication. https://doi.org/10.1177/13548166251364305</w:t>
      </w:r>
    </w:p>
    <w:p>
      <w:pPr>
        <w:pStyle w:val="Reference"/>
      </w:pPr>
      <w:r>
        <w:rPr>
          <w:rFonts w:ascii="Times New Roman" w:hAnsi="Times New Roman"/>
          <w:b w:val="0"/>
          <w:i w:val="0"/>
          <w:sz w:val="24"/>
        </w:rPr>
        <w:t>Caldara, D., &amp; Iacoviello, M. (2022). Measuring geopolitical risk. American Economic Review, 112(4), 1194-1225. https://doi.org/10.1257/aer.20191823</w:t>
      </w:r>
    </w:p>
    <w:p>
      <w:pPr>
        <w:pStyle w:val="Reference"/>
      </w:pPr>
      <w:r>
        <w:rPr>
          <w:rFonts w:ascii="Times New Roman" w:hAnsi="Times New Roman"/>
          <w:b w:val="0"/>
          <w:i w:val="0"/>
          <w:sz w:val="24"/>
        </w:rPr>
        <w:t>Department of Statistics Malaysia. (2026, September 15). Tourism satellite account 2025. https://www.dosm.gov.my/portal-main/release-content/tourism-satellite-account-2025</w:t>
      </w:r>
    </w:p>
    <w:p>
      <w:pPr>
        <w:pStyle w:val="Reference"/>
      </w:pPr>
      <w:r>
        <w:rPr>
          <w:rFonts w:ascii="Times New Roman" w:hAnsi="Times New Roman"/>
          <w:b w:val="0"/>
          <w:i w:val="0"/>
          <w:sz w:val="24"/>
        </w:rPr>
        <w:t>Hampton, M. P., Jeyacheya, J., &amp; Nair, V. (2023). Post-COVID tourism revealed: Evidence from Malaysia. Annals of Tourism Research, 103, 103671. https://doi.org/10.1016/j.annals.2023.103671</w:t>
      </w:r>
    </w:p>
    <w:p>
      <w:pPr>
        <w:pStyle w:val="Reference"/>
      </w:pPr>
      <w:r>
        <w:rPr>
          <w:rFonts w:ascii="Times New Roman" w:hAnsi="Times New Roman"/>
          <w:b w:val="0"/>
          <w:i w:val="0"/>
          <w:sz w:val="24"/>
        </w:rPr>
        <w:t>Hyndman, R. J., &amp; Koehler, A. B. (2006). Another look at measures of forecast accuracy. International Journal of Forecasting, 22(4), 679-688. https://doi.org/10.1016/j.ijforecast.2006.03.001</w:t>
      </w:r>
    </w:p>
    <w:p>
      <w:pPr>
        <w:pStyle w:val="Reference"/>
      </w:pPr>
      <w:r>
        <w:rPr>
          <w:rFonts w:ascii="Times New Roman" w:hAnsi="Times New Roman"/>
          <w:b w:val="0"/>
          <w:i w:val="0"/>
          <w:sz w:val="24"/>
        </w:rPr>
        <w:t>Imamboccus, R., Seetanah, B., Nunkoo, R., &amp; Jaffur, Z. K. (2024). The impact of exchange rate and exchange rate volatility on tourism demand using disaggregated data. International Journal of Tourism Research, 26(2), e2640. https://doi.org/10.1002/jtr.2640</w:t>
      </w:r>
    </w:p>
    <w:p>
      <w:pPr>
        <w:pStyle w:val="Reference"/>
      </w:pPr>
      <w:r>
        <w:rPr>
          <w:rFonts w:ascii="Times New Roman" w:hAnsi="Times New Roman"/>
          <w:b w:val="0"/>
          <w:i w:val="0"/>
          <w:sz w:val="24"/>
        </w:rPr>
        <w:t>Karimi, M. S., Khan, A. A., &amp; Karamelikli, H. (2019). Asymmetric effects of real exchange rate on inbound tourist arrivals in Malaysia: An analysis of price rigidity. International Journal of Tourism Research, 21(2), 156-164. https://doi.org/10.1002/jtr.2249</w:t>
      </w:r>
    </w:p>
    <w:p>
      <w:pPr>
        <w:pStyle w:val="Reference"/>
      </w:pPr>
      <w:r>
        <w:rPr>
          <w:rFonts w:ascii="Times New Roman" w:hAnsi="Times New Roman"/>
          <w:b w:val="0"/>
          <w:i w:val="0"/>
          <w:sz w:val="24"/>
        </w:rPr>
        <w:t>Ke, G., Meng, Q., Finley, T., Wang, T., Chen, W., Ma, W., Ye, Q., &amp; Liu, T.-Y. (2017). LightGBM: A highly efficient gradient boosting decision tree. In Advances in Neural Information Processing Systems 30 (pp. 3146-3154). Curran Associates.</w:t>
      </w:r>
    </w:p>
    <w:p>
      <w:pPr>
        <w:pStyle w:val="Reference"/>
      </w:pPr>
      <w:r>
        <w:rPr>
          <w:rFonts w:ascii="Times New Roman" w:hAnsi="Times New Roman"/>
          <w:b w:val="0"/>
          <w:i w:val="0"/>
          <w:sz w:val="24"/>
        </w:rPr>
        <w:t>Lee, C.-C., Olasehinde-Williams, G., &amp; Akadiri, S. S. (2021). Geopolitical risk and tourism: Evidence from dynamic heterogeneous panel models. International Journal of Tourism Research, 23(1), 26-38. https://doi.org/10.1002/jtr.2389</w:t>
      </w:r>
    </w:p>
    <w:p>
      <w:pPr>
        <w:pStyle w:val="Reference"/>
      </w:pPr>
      <w:r>
        <w:rPr>
          <w:rFonts w:ascii="Times New Roman" w:hAnsi="Times New Roman"/>
          <w:b w:val="0"/>
          <w:i w:val="0"/>
          <w:sz w:val="24"/>
        </w:rPr>
        <w:t>Long, W., Liu, C., &amp; Song, H. (2019). Pooling in tourism demand forecasting. Journal of Travel Research, 58(7), 1161-1174. https://doi.org/10.1177/0047287518800390</w:t>
      </w:r>
    </w:p>
    <w:p>
      <w:pPr>
        <w:pStyle w:val="Reference"/>
      </w:pPr>
      <w:r>
        <w:rPr>
          <w:rFonts w:ascii="Times New Roman" w:hAnsi="Times New Roman"/>
          <w:b w:val="0"/>
          <w:i w:val="0"/>
          <w:sz w:val="24"/>
        </w:rPr>
        <w:t>Lundberg, S. M., &amp; Lee, S.-I. (2017). A unified approach to interpreting model predictions. In Advances in Neural Information Processing Systems 30 (pp. 4765-4774). Curran Associates.</w:t>
      </w:r>
    </w:p>
    <w:p>
      <w:pPr>
        <w:pStyle w:val="Reference"/>
      </w:pPr>
      <w:r>
        <w:rPr>
          <w:rFonts w:ascii="Times New Roman" w:hAnsi="Times New Roman"/>
          <w:b w:val="0"/>
          <w:i w:val="0"/>
          <w:sz w:val="24"/>
        </w:rPr>
        <w:t>Makridakis, S., Spiliotis, E., &amp; Assimakopoulos, V. (2022). M5 accuracy competition: Results, findings, and conclusions. International Journal of Forecasting, 38(4), 1346-1364. https://doi.org/10.1016/j.ijforecast.2021.11.013</w:t>
      </w:r>
    </w:p>
    <w:p>
      <w:pPr>
        <w:pStyle w:val="Reference"/>
      </w:pPr>
      <w:r>
        <w:rPr>
          <w:rFonts w:ascii="Times New Roman" w:hAnsi="Times New Roman"/>
          <w:b w:val="0"/>
          <w:i w:val="0"/>
          <w:sz w:val="24"/>
        </w:rPr>
        <w:t>Ministry of Tourism, Arts and Culture Malaysia. (2020). National Tourism Policy 2020-2030. https://www.motac.gov.my/en/category/download/dasar-pelancongan-negara-dpn-2020-2030/</w:t>
      </w:r>
    </w:p>
    <w:p>
      <w:pPr>
        <w:pStyle w:val="Reference"/>
      </w:pPr>
      <w:r>
        <w:rPr>
          <w:rFonts w:ascii="Times New Roman" w:hAnsi="Times New Roman"/>
          <w:b w:val="0"/>
          <w:i w:val="0"/>
          <w:sz w:val="24"/>
        </w:rPr>
        <w:t>Montero-Manso, P., &amp; Hyndman, R. J. (2021). Principles and algorithms for forecasting groups of time series: Locality and globality. International Journal of Forecasting, 37(4), 1632-1653. https://doi.org/10.1016/j.ijforecast.2021.03.004</w:t>
      </w:r>
    </w:p>
    <w:p>
      <w:pPr>
        <w:pStyle w:val="Reference"/>
      </w:pPr>
      <w:r>
        <w:rPr>
          <w:rFonts w:ascii="Times New Roman" w:hAnsi="Times New Roman"/>
          <w:b w:val="0"/>
          <w:i w:val="0"/>
          <w:sz w:val="24"/>
        </w:rPr>
        <w:t>Papagianni, E., Evgenidis, A., Tsagkanos, A., &amp; Megalooikonomou, V. (2024). Tourism demand in the face of geopolitical risk: Insights from a cross-country analysis. Journal of Travel Research, 63(8), 2094-2119. https://doi.org/10.1177/00472875231206539</w:t>
      </w:r>
    </w:p>
    <w:p>
      <w:pPr>
        <w:pStyle w:val="Reference"/>
      </w:pPr>
      <w:r>
        <w:rPr>
          <w:rFonts w:ascii="Times New Roman" w:hAnsi="Times New Roman"/>
          <w:b w:val="0"/>
          <w:i w:val="0"/>
          <w:sz w:val="24"/>
        </w:rPr>
        <w:t>Peng, B., Song, H., &amp; Crouch, G. I. (2014). A meta-analysis of international tourism demand forecasting and implications for practice. Tourism Management, 45, 181-193. https://doi.org/10.1016/j.tourman.2014.04.005</w:t>
      </w:r>
    </w:p>
    <w:p>
      <w:pPr>
        <w:pStyle w:val="Reference"/>
      </w:pPr>
      <w:r>
        <w:rPr>
          <w:rFonts w:ascii="Times New Roman" w:hAnsi="Times New Roman"/>
          <w:b w:val="0"/>
          <w:i w:val="0"/>
          <w:sz w:val="24"/>
        </w:rPr>
        <w:t>Seetaram, N. (2010). Computing airfare elasticities or opening Pandora's box. Research in Transportation Economics, 26(1), 27-36. https://doi.org/10.1016/j.retrec.2009.10.005</w:t>
      </w:r>
    </w:p>
    <w:p>
      <w:pPr>
        <w:pStyle w:val="Reference"/>
      </w:pPr>
      <w:r>
        <w:rPr>
          <w:rFonts w:ascii="Times New Roman" w:hAnsi="Times New Roman"/>
          <w:b w:val="0"/>
          <w:i w:val="0"/>
          <w:sz w:val="24"/>
        </w:rPr>
        <w:t>Song, H., &amp; Li, G. (2008). Tourism demand modelling and forecasting: A review of recent research. Tourism Management, 29(2), 203-220. https://doi.org/10.1016/j.tourman.2007.07.016</w:t>
      </w:r>
    </w:p>
    <w:p>
      <w:pPr>
        <w:pStyle w:val="Reference"/>
      </w:pPr>
      <w:r>
        <w:rPr>
          <w:rFonts w:ascii="Times New Roman" w:hAnsi="Times New Roman"/>
          <w:b w:val="0"/>
          <w:i w:val="0"/>
          <w:sz w:val="24"/>
        </w:rPr>
        <w:t>Tan, C.-Y., &amp; Soon, S.-V. (2023). Tourism demand for Malaysia: Further evidence from panel approaches. Asia Pacific Management Review, 28(4), 459-469. https://doi.org/10.1016/j.apmrv.2022.12.006</w:t>
      </w:r>
    </w:p>
    <w:p>
      <w:pPr>
        <w:pStyle w:val="Reference"/>
      </w:pPr>
      <w:r>
        <w:rPr>
          <w:rFonts w:ascii="Times New Roman" w:hAnsi="Times New Roman"/>
          <w:b w:val="0"/>
          <w:i w:val="0"/>
          <w:sz w:val="24"/>
        </w:rPr>
        <w:t>Tashman, L. J. (2000). Out-of-sample tests of forecasting accuracy: An analysis and review. International Journal of Forecasting, 16(4), 437-450. https://doi.org/10.1016/S0169-2070(00)00065-0</w:t>
      </w:r>
    </w:p>
    <w:p>
      <w:pPr>
        <w:pStyle w:val="Reference"/>
      </w:pPr>
      <w:r>
        <w:rPr>
          <w:rFonts w:ascii="Times New Roman" w:hAnsi="Times New Roman"/>
          <w:b w:val="0"/>
          <w:i w:val="0"/>
          <w:sz w:val="24"/>
        </w:rPr>
        <w:t>Tourism Malaysia. (2025). Visitor performance to Malaysia January to December 2024 [Infographic]. https://data.tourism.gov.my/frontend/pdf/Infographic_visitor_performance_to_malaysia_jan-dec_2024.pdf</w:t>
      </w:r>
    </w:p>
    <w:p>
      <w:pPr>
        <w:pStyle w:val="Reference"/>
      </w:pPr>
      <w:r>
        <w:rPr>
          <w:rFonts w:ascii="Times New Roman" w:hAnsi="Times New Roman"/>
          <w:b w:val="0"/>
          <w:i w:val="0"/>
          <w:sz w:val="24"/>
        </w:rPr>
        <w:t>United Nations Department of Economic and Social Affairs. (n.d.). Sustainable tourism. United Nations Sustainable Development. https://sdgs.un.org/topics/sustainable-tourism</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line="360" w:lineRule="auto" w:after="0"/>
      <w:ind w:left="720" w:hanging="720"/>
      <w:jc w:val="left"/>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2 Literature Review for the Nexora DOSM Datathon 2026 Report</dc:title>
  <dc:subject>Literature review on geopolitical risk, transport costs, exchange rates, tourism resilience, sustainability, and machine-learning forecasting</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