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Moonee</w:t>
      </w:r>
      <w:r>
        <w:t xml:space="preserve"> </w:t>
      </w:r>
      <w:r>
        <w:t xml:space="preserve">Valley</w:t>
      </w:r>
      <w:r>
        <w:t xml:space="preserve"> </w:t>
      </w:r>
      <w:r>
        <w:t xml:space="preserve">Health</w:t>
      </w:r>
      <w:r>
        <w:t xml:space="preserve"> </w:t>
      </w:r>
      <w:r>
        <w:t xml:space="preserve">Profile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death"/>
      <w:r>
        <w:t xml:space="preserve">Death</w:t>
      </w:r>
      <w:bookmarkEnd w:id="21"/>
    </w:p>
    <w:p>
      <w:pPr>
        <w:pStyle w:val="Heading2"/>
      </w:pPr>
      <w:bookmarkStart w:id="22" w:name="premature-deaths"/>
      <w:r>
        <w:t xml:space="preserve">Premature deaths</w:t>
      </w:r>
      <w:bookmarkEnd w:id="22"/>
    </w:p>
    <w:p>
      <w:pPr>
        <w:pStyle w:val="FirstParagraph"/>
      </w:pPr>
      <w:r>
        <w:t xml:space="preserve">Premature deaths in Moonee Valley declined between 2014 and 2018</w:t>
      </w:r>
      <w:r>
        <w:rPr>
          <w:rStyle w:val="FootnoteReference"/>
        </w:rPr>
        <w:footnoteReference w:id="23"/>
      </w:r>
      <w:r>
        <w:t xml:space="preserve">. There were 142.8 premature deaths per 100,000 in Moonee Valley in 2018, compared to 160.5 for Greater Melbourne.</w:t>
      </w:r>
    </w:p>
    <w:p>
      <w:pPr>
        <w:pStyle w:val="BodyText"/>
      </w:pPr>
      <w:r>
        <w:drawing>
          <wp:inline>
            <wp:extent cx="5727700" cy="32729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profile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5" w:name="top-causes-of-death"/>
      <w:r>
        <w:t xml:space="preserve">Top causes of death</w:t>
      </w:r>
      <w:bookmarkEnd w:id="25"/>
    </w:p>
    <w:p>
      <w:pPr>
        <w:pStyle w:val="FirstParagraph"/>
      </w:pPr>
      <w:r>
        <w:t xml:space="preserve">The most common causes of death in 2018 were Coronary heart disease, Dementia and Cerebrovascular disease.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23"/>
        <w:tblLook w:firstRow="1" w:lastRow="0" w:firstColumn="0" w:lastColumn="0" w:noHBand="0" w:noVBand="1"/>
      </w:tblPr>
      <w:tblGrid>
        <w:gridCol w:w="4201"/>
        <w:gridCol w:w="1108"/>
        <w:gridCol w:w="2514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Cause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 cent of all causes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Coronary heart disease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Dementia including Alzheimer disease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Cerebrovascular disease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Lung cancer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Chronic obstructive pulmonary disease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Colorectal cancer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Accidental falls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Influenza and pneumonia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Prostate cancer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Source: Australian Institure of Health and Welfare, 2020</w:t>
            </w:r>
          </w:p>
        </w:tc>
      </w:tr>
    </w:tbl>
    <w:p>
      <w:pPr>
        <w:pStyle w:val="Heading1"/>
      </w:pPr>
      <w:bookmarkStart w:id="26" w:name="victorian-population-health-survey-2017"/>
      <w:r>
        <w:t xml:space="preserve">Victorian Population Health Survey 2017</w:t>
      </w:r>
      <w:bookmarkEnd w:id="26"/>
    </w:p>
    <w:p>
      <w:pPr>
        <w:pStyle w:val="FirstParagraph"/>
      </w:pPr>
      <w:r>
        <w:t xml:space="preserve">The graph below compares the City of Moonee Valley to other local government areas for a number of risk factors, chronic diseases and screening tests. The colours indicate how Moonee Valley compares to Victoria.</w:t>
      </w:r>
    </w:p>
    <w:p>
      <w:pPr>
        <w:pStyle w:val="BodyText"/>
      </w:pPr>
      <w:r>
        <w:drawing>
          <wp:inline>
            <wp:extent cx="5727700" cy="572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profile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o-add"/>
      <w:r>
        <w:t xml:space="preserve">To add</w:t>
      </w:r>
      <w:bookmarkEnd w:id="28"/>
    </w:p>
    <w:p>
      <w:pPr>
        <w:pStyle w:val="Compact"/>
        <w:numPr>
          <w:numId w:val="1001"/>
          <w:ilvl w:val="0"/>
        </w:numPr>
      </w:pPr>
      <w:r>
        <w:t xml:space="preserve">aged care</w:t>
      </w:r>
      <w:r>
        <w:t xml:space="preserve"> </w:t>
      </w:r>
      <w:hyperlink r:id="rId29">
        <w:r>
          <w:rPr>
            <w:rStyle w:val="Hyperlink"/>
          </w:rPr>
          <w:t xml:space="preserve">https://gen-agedcaredata.gov.au/Topics/Services-and-places-in-aged-care/Explore-services-and-places-in-aged-care</w:t>
        </w:r>
      </w:hyperlink>
    </w:p>
    <w:p>
      <w:pPr>
        <w:pStyle w:val="Compact"/>
        <w:numPr>
          <w:numId w:val="1001"/>
          <w:ilvl w:val="0"/>
        </w:numPr>
      </w:pPr>
      <w:r>
        <w:t xml:space="preserve">heat vulnerability index</w:t>
      </w:r>
    </w:p>
    <w:p>
      <w:pPr>
        <w:pStyle w:val="Compact"/>
        <w:numPr>
          <w:numId w:val="1001"/>
          <w:ilvl w:val="0"/>
        </w:numPr>
      </w:pPr>
      <w:r>
        <w:t xml:space="preserve">ahpc</w:t>
      </w:r>
    </w:p>
    <w:p>
      <w:pPr>
        <w:pStyle w:val="Compact"/>
        <w:numPr>
          <w:numId w:val="1001"/>
          <w:ilvl w:val="0"/>
        </w:numPr>
      </w:pPr>
      <w:r>
        <w:t xml:space="preserve">vichealth indicators</w:t>
      </w:r>
    </w:p>
    <w:p>
      <w:pPr>
        <w:pStyle w:val="Compact"/>
        <w:numPr>
          <w:numId w:val="1001"/>
          <w:ilvl w:val="0"/>
        </w:numPr>
      </w:pPr>
      <w:r>
        <w:t xml:space="preserve">vphs</w:t>
      </w:r>
    </w:p>
    <w:sectPr w:rsidR="007E773D" w:rsidRPr="007E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Australian Institute of Health and Welfare, 2020,</w:t>
      </w:r>
      <w:r>
        <w:t xml:space="preserve"> </w:t>
      </w:r>
      <w:r>
        <w:rPr>
          <w:i/>
        </w:rPr>
        <w:t xml:space="preserve">Mortality Over Regions and Time (MORT) books</w:t>
      </w:r>
      <w:r>
        <w:t xml:space="preserve">, 7 August 2020, Australian Government, Canberra.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6B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E6514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6B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color w:val="E6514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6B"/>
    <w:pPr>
      <w:keepNext/>
      <w:keepLines/>
      <w:spacing w:before="40" w:after="0"/>
      <w:outlineLvl w:val="2"/>
    </w:pPr>
    <w:rPr>
      <w:rFonts w:ascii="Calibri" w:eastAsiaTheme="majorEastAsia" w:hAnsi="Calibri" w:cs="Calibri"/>
      <w:b/>
      <w:color w:val="E6514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66B"/>
    <w:pPr>
      <w:keepNext/>
      <w:keepLines/>
      <w:spacing w:before="40" w:after="0"/>
      <w:outlineLvl w:val="3"/>
    </w:pPr>
    <w:rPr>
      <w:rFonts w:ascii="Calibri" w:eastAsiaTheme="majorEastAsia" w:hAnsi="Calibri" w:cs="Calibri"/>
      <w:b/>
      <w:iCs/>
      <w:color w:val="E6514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66B"/>
    <w:pPr>
      <w:spacing w:after="0" w:line="240" w:lineRule="auto"/>
      <w:contextualSpacing/>
    </w:pPr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6B"/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66B"/>
    <w:rPr>
      <w:rFonts w:ascii="Calibri" w:eastAsiaTheme="majorEastAsia" w:hAnsi="Calibri" w:cs="Calibri"/>
      <w:b/>
      <w:color w:val="E6514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66B"/>
    <w:rPr>
      <w:rFonts w:ascii="Calibri" w:eastAsiaTheme="majorEastAsia" w:hAnsi="Calibri" w:cs="Calibri"/>
      <w:b/>
      <w:color w:val="E6514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66B"/>
    <w:rPr>
      <w:rFonts w:ascii="Calibri" w:eastAsiaTheme="majorEastAsia" w:hAnsi="Calibri" w:cs="Calibri"/>
      <w:b/>
      <w:color w:val="E6514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66B"/>
    <w:rPr>
      <w:rFonts w:ascii="Calibri" w:eastAsiaTheme="majorEastAsia" w:hAnsi="Calibri" w:cs="Calibri"/>
      <w:b/>
      <w:iCs/>
      <w:color w:val="E65149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9" Target="https://gen-agedcaredata.gov.au/Topics/Services-and-places-in-aged-care/Explore-services-and-places-in-aged-ca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en-agedcaredata.gov.au/Topics/Services-and-places-in-aged-care/Explore-services-and-places-in-aged-c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>City of Moonee Valley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Moonee Valley Health Profile 2020</dc:title>
  <dc:creator/>
  <cp:keywords/>
  <dcterms:created xsi:type="dcterms:W3CDTF">2020-09-10T07:18:52Z</dcterms:created>
  <dcterms:modified xsi:type="dcterms:W3CDTF">2020-09-10T07:18:52Z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