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7.png" ContentType="image/png"/>
  <Override PartName="/word/media/rId38.png" ContentType="image/png"/>
  <Override PartName="/word/media/rId41.png" ContentType="image/png"/>
  <Override PartName="/word/media/rId48.png" ContentType="image/png"/>
  <Override PartName="/word/media/rId50.png" ContentType="image/png"/>
  <Override PartName="/word/media/rId51.png" ContentType="image/png"/>
  <Override PartName="/word/media/rId53.png" ContentType="image/png"/>
  <Override PartName="/word/media/rId55.png" ContentType="image/png"/>
  <Override PartName="/word/media/rId56.png" ContentType="image/png"/>
  <Override PartName="/word/media/rId60.png" ContentType="image/png"/>
  <Override PartName="/word/media/rId61.png" ContentType="image/png"/>
  <Override PartName="/word/media/rId63.png" ContentType="image/png"/>
  <Override PartName="/word/media/rId25.png" ContentType="image/png"/>
  <Override PartName="/word/media/rId67.png" ContentType="image/png"/>
  <Override PartName="/word/media/rId68.png" ContentType="image/png"/>
  <Override PartName="/word/media/rId71.png" ContentType="image/png"/>
  <Override PartName="/word/media/rId72.png" ContentType="image/png"/>
  <Override PartName="/word/media/rId74.png" ContentType="image/png"/>
  <Override PartName="/word/media/rId76.png" ContentType="image/png"/>
  <Override PartName="/word/media/rId77.png" ContentType="image/png"/>
  <Override PartName="/word/media/rId79.png" ContentType="image/png"/>
  <Override PartName="/word/media/rId80.png" ContentType="image/png"/>
  <Override PartName="/word/media/rId83.png" ContentType="image/png"/>
  <Override PartName="/word/media/rId84.png" ContentType="image/png"/>
  <Override PartName="/word/media/rId87.png" ContentType="image/png"/>
  <Override PartName="/word/media/rId88.png" ContentType="image/png"/>
  <Override PartName="/word/media/rId90.png" ContentType="image/png"/>
  <Override PartName="/word/media/rId93.png" ContentType="image/png"/>
  <Override PartName="/word/media/rId94.png" ContentType="image/png"/>
  <Override PartName="/word/media/rId95.png" ContentType="image/png"/>
  <Override PartName="/word/media/rId97.png" ContentType="image/png"/>
  <Override PartName="/word/media/rId100.png" ContentType="image/png"/>
  <Override PartName="/word/media/rId102.png" ContentType="image/png"/>
  <Override PartName="/word/media/rId104.png" ContentType="image/png"/>
  <Override PartName="/word/media/rId108.png" ContentType="image/png"/>
  <Override PartName="/word/media/rId125.png" ContentType="image/png"/>
  <Override PartName="/word/media/rId27.png" ContentType="image/png"/>
  <Override PartName="/word/media/rId28.png" ContentType="image/png"/>
  <Override PartName="/word/media/rId29.png" ContentType="image/png"/>
  <Override PartName="/word/media/rId32.png" ContentType="image/png"/>
  <Override PartName="/word/media/rId82.png" ContentType="image/png"/>
  <Override PartName="/word/media/rId105.png" ContentType="image/png"/>
  <Override PartName="/word/media/rId75.png" ContentType="image/png"/>
  <Override PartName="/word/media/rId85.png" ContentType="image/png"/>
  <Override PartName="/word/media/rId44.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pPr>
        <w:pStyle w:val="FirstParagraph"/>
      </w:pPr>
      <w:r>
        <w:t xml:space="preserve">within the document, interleave with diagrams from</w:t>
      </w:r>
      <w:r>
        <w:t xml:space="preserve"> </w:t>
      </w:r>
      <w:hyperlink r:id="rId22">
        <w:r>
          <w:rPr>
            <w:rStyle w:val="Hyperlink"/>
          </w:rPr>
          <w:t xml:space="preserve">https://www.aihw.gov.au/reports-data/australias-health</w:t>
        </w:r>
      </w:hyperlink>
    </w:p>
    <w:p>
      <w:r>
        <w:br w:type="page"/>
      </w:r>
    </w:p>
    <w:p>
      <w:pPr>
        <w:pStyle w:val="Heading1"/>
      </w:pPr>
      <w:bookmarkStart w:id="23" w:name="population"/>
      <w:r>
        <w:t xml:space="preserve">Population</w:t>
      </w:r>
      <w:bookmarkEnd w:id="23"/>
    </w:p>
    <w:p>
      <w:pPr>
        <w:pStyle w:val="Heading2"/>
      </w:pPr>
      <w:bookmarkStart w:id="24" w:name="current-and-projected"/>
      <w:r>
        <w:t xml:space="preserve">Current and projected</w:t>
      </w:r>
      <w:bookmarkEnd w:id="24"/>
    </w:p>
    <w:p>
      <w:pPr>
        <w:pStyle w:val="FirstParagraph"/>
      </w:pPr>
      <w:r>
        <w:t xml:space="preserve">The population of the City of Moonee Valley is forecast to increase from about 130,000 in 2019, to around 170,000 in 2040.</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5"/>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26" w:name="age-breakdown"/>
      <w:r>
        <w:t xml:space="preserve">Age breakdown</w:t>
      </w:r>
      <w:bookmarkEnd w:id="26"/>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7"/>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This will see population increases in all age groups and will increase the need for service provision to meet the needs of all these people.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29"/>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30" w:name="cultural-and-linguistic-diversity"/>
      <w:r>
        <w:t xml:space="preserve">Cultural and linguistic diversity</w:t>
      </w:r>
      <w:bookmarkEnd w:id="30"/>
    </w:p>
    <w:p>
      <w:pPr>
        <w:pStyle w:val="Heading3"/>
      </w:pPr>
      <w:bookmarkStart w:id="31" w:name="indigenous-population"/>
      <w:r>
        <w:t xml:space="preserve">Indigenous population</w:t>
      </w:r>
      <w:bookmarkEnd w:id="31"/>
    </w:p>
    <w:p>
      <w:pPr>
        <w:pStyle w:val="FirstParagraph"/>
      </w:pPr>
      <w:r>
        <w:t xml:space="preserve">At the 2016 Census, there were 430 residents who identified as Aboriginal and/or Torres Strait Islander people. This was 0.4 per cent of the Moonee Valley population at the time. Census data also shows other differences between the Indigenous and non-Indigenous populiation in Moonee Valley:</w:t>
      </w:r>
    </w:p>
    <w:p>
      <w:pPr>
        <w:pStyle w:val="Compact"/>
        <w:numPr>
          <w:numId w:val="1001"/>
          <w:ilvl w:val="0"/>
        </w:numPr>
      </w:pPr>
      <w:r>
        <w:t xml:space="preserve">a lower median age (28 years) than for the non-Indigenous population (38 years)</w:t>
      </w:r>
    </w:p>
    <w:p>
      <w:pPr>
        <w:pStyle w:val="Compact"/>
        <w:numPr>
          <w:numId w:val="1001"/>
          <w:ilvl w:val="0"/>
        </w:numPr>
      </w:pPr>
      <w:r>
        <w:t xml:space="preserve">lower Year 12 completion rate (53 per cent compared to 66 per cent)</w:t>
      </w:r>
    </w:p>
    <w:p>
      <w:pPr>
        <w:pStyle w:val="Compact"/>
        <w:numPr>
          <w:numId w:val="1001"/>
          <w:ilvl w:val="0"/>
        </w:numPr>
      </w:pPr>
      <w:r>
        <w:t xml:space="preserve">a higher proportion renting (59 per cent compared to 32 per cent)</w:t>
      </w:r>
    </w:p>
    <w:p>
      <w:pPr>
        <w:pStyle w:val="FirstParagraph"/>
      </w:pPr>
      <w:r>
        <w:drawing>
          <wp:inline>
            <wp:extent cx="4620126" cy="1848050"/>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2"/>
                    <a:stretch>
                      <a:fillRect/>
                    </a:stretch>
                  </pic:blipFill>
                  <pic:spPr bwMode="auto">
                    <a:xfrm>
                      <a:off x="0" y="0"/>
                      <a:ext cx="4620126" cy="1848050"/>
                    </a:xfrm>
                    <a:prstGeom prst="rect">
                      <a:avLst/>
                    </a:prstGeom>
                    <a:noFill/>
                    <a:ln w="9525">
                      <a:noFill/>
                      <a:headEnd/>
                      <a:tailEnd/>
                    </a:ln>
                  </pic:spPr>
                </pic:pic>
              </a:graphicData>
            </a:graphic>
          </wp:inline>
        </w:drawing>
      </w:r>
    </w:p>
    <w:p>
      <w:pPr>
        <w:pStyle w:val="Heading3"/>
      </w:pPr>
      <w:bookmarkStart w:id="33" w:name="languages-spoken-at-home"/>
      <w:r>
        <w:t xml:space="preserve">Languages spoken at home</w:t>
      </w:r>
      <w:bookmarkEnd w:id="33"/>
    </w:p>
    <w:p>
      <w:pPr>
        <w:pStyle w:val="FirstParagraph"/>
      </w:pPr>
      <w:r>
        <w:t xml:space="preserve">The top languages spoken at home (other than English) by residents of the City of Moonee Valley are Italian, Greek, Vietnamese, Mandarin and Cantonese.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941"/>
        <w:tblLook w:firstRow="1" w:lastRow="0" w:firstColumn="0" w:lastColumn="0" w:noHBand="0" w:noVBand="1"/>
      </w:tblPr>
      <w:tblGrid>
        <w:gridCol w:w="3016"/>
        <w:gridCol w:w="1389"/>
        <w:gridCol w:w="1536"/>
      </w:tblGrid>
      <w:tr>
        <w:trPr>
          <w:cantSplit/>
          <w:trHeight w:val="45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languages spoken at home,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Language spoken at home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Residents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English</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75,216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Vietnamese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Mandarin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Cantonese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Arabic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Spanish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Hindi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Maltese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r>
        <w:br w:type="page"/>
      </w:r>
    </w:p>
    <w:p>
      <w:pPr>
        <w:pStyle w:val="Heading3"/>
      </w:pPr>
      <w:bookmarkStart w:id="34" w:name="proficiency-in-spoken-english"/>
      <w:r>
        <w:t xml:space="preserve">Proficiency in spoken English</w:t>
      </w:r>
      <w:bookmarkEnd w:id="34"/>
    </w:p>
    <w:p>
      <w:pPr>
        <w:pStyle w:val="FirstParagraph"/>
      </w:pPr>
      <w:r>
        <w:t xml:space="preserve">Census data shows that for Moonee Valley residents, for the most common languages other than English, those who spoke Hindi, Maltese, and Turkish were the most likely to self-assess that they spoke English</w:t>
      </w:r>
      <w:r>
        <w:t xml:space="preserve"> </w:t>
      </w:r>
      <w:r>
        <w:t xml:space="preserve">‘</w:t>
      </w:r>
      <w:r>
        <w:t xml:space="preserve">Very well</w:t>
      </w:r>
      <w:r>
        <w:t xml:space="preserve">’</w:t>
      </w:r>
      <w:r>
        <w:t xml:space="preserv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1-1.png" id="0" name="Picture"/>
                    <pic:cNvPicPr>
                      <a:picLocks noChangeArrowheads="1" noChangeAspect="1"/>
                    </pic:cNvPicPr>
                  </pic:nvPicPr>
                  <pic:blipFill>
                    <a:blip r:embed="rId3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6" w:name="self-reported-health"/>
      <w:r>
        <w:t xml:space="preserve">Self-reported health</w:t>
      </w:r>
      <w:bookmarkEnd w:id="36"/>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3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3-1.png" id="0" name="Picture"/>
                    <pic:cNvPicPr>
                      <a:picLocks noChangeArrowheads="1" noChangeAspect="1"/>
                    </pic:cNvPicPr>
                  </pic:nvPicPr>
                  <pic:blipFill>
                    <a:blip r:embed="rId38"/>
                    <a:stretch>
                      <a:fillRect/>
                    </a:stretch>
                  </pic:blipFill>
                  <pic:spPr bwMode="auto">
                    <a:xfrm>
                      <a:off x="0" y="0"/>
                      <a:ext cx="5727700" cy="2045607"/>
                    </a:xfrm>
                    <a:prstGeom prst="rect">
                      <a:avLst/>
                    </a:prstGeom>
                    <a:noFill/>
                    <a:ln w="9525">
                      <a:noFill/>
                      <a:headEnd/>
                      <a:tailEnd/>
                    </a:ln>
                  </pic:spPr>
                </pic:pic>
              </a:graphicData>
            </a:graphic>
          </wp:inline>
        </w:drawing>
      </w:r>
    </w:p>
    <w:p>
      <w:r>
        <w:br w:type="page"/>
      </w:r>
    </w:p>
    <w:p>
      <w:pPr>
        <w:pStyle w:val="Heading1"/>
      </w:pPr>
      <w:bookmarkStart w:id="39" w:name="environmental-factors"/>
      <w:r>
        <w:t xml:space="preserve">Environmental factors</w:t>
      </w:r>
      <w:bookmarkEnd w:id="39"/>
    </w:p>
    <w:p>
      <w:pPr>
        <w:pStyle w:val="Heading2"/>
      </w:pPr>
      <w:bookmarkStart w:id="40" w:name="socio-economic-disadvantage"/>
      <w:r>
        <w:t xml:space="preserve">Socio-economic disadvantage</w:t>
      </w:r>
      <w:bookmarkEnd w:id="40"/>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5-1.png" id="0" name="Picture"/>
                    <pic:cNvPicPr>
                      <a:picLocks noChangeArrowheads="1" noChangeAspect="1"/>
                    </pic:cNvPicPr>
                  </pic:nvPicPr>
                  <pic:blipFill>
                    <a:blip r:embed="rId41"/>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42"/>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43" w:name="heat-vulnerability-index"/>
      <w:r>
        <w:t xml:space="preserve">Heat Vulnerability Index</w:t>
      </w:r>
      <w:bookmarkEnd w:id="43"/>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4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45" w:name="walkability"/>
      <w:r>
        <w:t xml:space="preserve">Walkability</w:t>
      </w:r>
      <w:bookmarkEnd w:id="45"/>
    </w:p>
    <w:p>
      <w:pPr>
        <w:pStyle w:val="Compact"/>
        <w:numPr>
          <w:numId w:val="1002"/>
          <w:ilvl w:val="0"/>
        </w:numPr>
      </w:pPr>
      <w:r>
        <w:t xml:space="preserve">See what Evie has done. Otherwise, just use the ones from MV2040</w:t>
      </w:r>
    </w:p>
    <w:p>
      <w:r>
        <w:br w:type="page"/>
      </w:r>
    </w:p>
    <w:p>
      <w:pPr>
        <w:pStyle w:val="Heading1"/>
      </w:pPr>
      <w:bookmarkStart w:id="46" w:name="gender-inequality"/>
      <w:r>
        <w:t xml:space="preserve">Gender inequality</w:t>
      </w:r>
      <w:bookmarkEnd w:id="46"/>
    </w:p>
    <w:p>
      <w:pPr>
        <w:pStyle w:val="Compact"/>
        <w:numPr>
          <w:numId w:val="1003"/>
          <w:ilvl w:val="0"/>
        </w:numPr>
      </w:pPr>
      <w:r>
        <w:t xml:space="preserve">also from this</w:t>
      </w:r>
      <w:r>
        <w:t xml:space="preserve"> </w:t>
      </w:r>
      <w:hyperlink r:id="rId47">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0-1.png" id="0" name="Picture"/>
                    <pic:cNvPicPr>
                      <a:picLocks noChangeArrowheads="1" noChangeAspect="1"/>
                    </pic:cNvPicPr>
                  </pic:nvPicPr>
                  <pic:blipFill>
                    <a:blip r:embed="rId48"/>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49" w:name="unemployment"/>
      <w:r>
        <w:t xml:space="preserve">Unemployment</w:t>
      </w:r>
      <w:bookmarkEnd w:id="49"/>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5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51"/>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2" w:name="affordable-housing"/>
      <w:r>
        <w:t xml:space="preserve">Affordable housing</w:t>
      </w:r>
      <w:bookmarkEnd w:id="52"/>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3"/>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4" w:name="community-safety"/>
      <w:r>
        <w:t xml:space="preserve">Community Safety</w:t>
      </w:r>
      <w:bookmarkEnd w:id="54"/>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55"/>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Perceptions of safety of walking alone in the local area at night are much lower for females than for males. There is little difference between males and females for perceptions of safety at public transport stops as well as walking alone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56"/>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7" w:name="health-workforce"/>
      <w:r>
        <w:t xml:space="preserve">Health workforce</w:t>
      </w:r>
      <w:bookmarkEnd w:id="57"/>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r>
        <w:br w:type="page"/>
      </w:r>
    </w:p>
    <w:p>
      <w:pPr>
        <w:pStyle w:val="Heading1"/>
      </w:pPr>
      <w:bookmarkStart w:id="58" w:name="health-status"/>
      <w:r>
        <w:t xml:space="preserve">Health Status</w:t>
      </w:r>
      <w:bookmarkEnd w:id="58"/>
    </w:p>
    <w:p>
      <w:pPr>
        <w:pStyle w:val="Heading2"/>
      </w:pPr>
      <w:bookmarkStart w:id="59" w:name="oral-health"/>
      <w:r>
        <w:t xml:space="preserve">Oral health</w:t>
      </w:r>
      <w:bookmarkEnd w:id="59"/>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6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61"/>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62" w:name="healthy-eating-and-food-security"/>
      <w:r>
        <w:t xml:space="preserve">Healthy eating and food security</w:t>
      </w:r>
      <w:bookmarkEnd w:id="62"/>
    </w:p>
    <w:p>
      <w:pPr>
        <w:pStyle w:val="Compact"/>
        <w:numPr>
          <w:numId w:val="1004"/>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64" w:name="chronic-disease"/>
      <w:r>
        <w:t xml:space="preserve">Chronic disease</w:t>
      </w:r>
      <w:bookmarkEnd w:id="64"/>
    </w:p>
    <w:p>
      <w:pPr>
        <w:pStyle w:val="Compact"/>
        <w:numPr>
          <w:numId w:val="1005"/>
          <w:ilvl w:val="0"/>
        </w:numPr>
      </w:pPr>
      <w:r>
        <w:t xml:space="preserve">add more here</w:t>
      </w:r>
    </w:p>
    <w:p>
      <w:pPr>
        <w:pStyle w:val="Compact"/>
        <w:numPr>
          <w:numId w:val="1005"/>
          <w:ilvl w:val="0"/>
        </w:numPr>
      </w:pPr>
      <w:r>
        <w:t xml:space="preserve">cancer from here</w:t>
      </w:r>
      <w:r>
        <w:t xml:space="preserve"> </w:t>
      </w:r>
      <w:hyperlink r:id="rId65">
        <w:r>
          <w:rPr>
            <w:rStyle w:val="Hyperlink"/>
          </w:rPr>
          <w:t xml:space="preserve">https://victorianwomenshealthatlas.net.au/reports%2Ffactsheets%2FCancer%2FMoonee%20Valley%2FVWHAtlas%20Fact%20Sheet%20Cancer%20Moonee%20Valley.pdf</w:t>
        </w:r>
      </w:hyperlink>
    </w:p>
    <w:p>
      <w:pPr>
        <w:pStyle w:val="Compact"/>
        <w:numPr>
          <w:numId w:val="1005"/>
          <w:ilvl w:val="0"/>
        </w:numPr>
      </w:pPr>
      <w:r>
        <w:t xml:space="preserve">ahpc data - diabetes and other things?</w:t>
      </w:r>
    </w:p>
    <w:p>
      <w:pPr>
        <w:pStyle w:val="Heading3"/>
      </w:pPr>
      <w:bookmarkStart w:id="66" w:name="tests-for-chronic-disease"/>
      <w:r>
        <w:t xml:space="preserve">Tests for chronic disease</w:t>
      </w:r>
      <w:bookmarkEnd w:id="66"/>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0-1.png" id="0" name="Picture"/>
                    <pic:cNvPicPr>
                      <a:picLocks noChangeArrowheads="1" noChangeAspect="1"/>
                    </pic:cNvPicPr>
                  </pic:nvPicPr>
                  <pic:blipFill>
                    <a:blip r:embed="rId67"/>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68"/>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69" w:name="modifiable-risk-factors"/>
      <w:r>
        <w:t xml:space="preserve">Modifiable risk factors</w:t>
      </w:r>
      <w:bookmarkEnd w:id="69"/>
    </w:p>
    <w:p>
      <w:pPr>
        <w:pStyle w:val="Heading3"/>
      </w:pPr>
      <w:bookmarkStart w:id="70" w:name="smoking"/>
      <w:r>
        <w:t xml:space="preserve">Smoking</w:t>
      </w:r>
      <w:bookmarkEnd w:id="70"/>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2-1.png" id="0" name="Picture"/>
                    <pic:cNvPicPr>
                      <a:picLocks noChangeArrowheads="1" noChangeAspect="1"/>
                    </pic:cNvPicPr>
                  </pic:nvPicPr>
                  <pic:blipFill>
                    <a:blip r:embed="rId71"/>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72"/>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3"/>
      </w:pPr>
      <w:bookmarkStart w:id="73" w:name="alcohol"/>
      <w:r>
        <w:t xml:space="preserve">Alcohol</w:t>
      </w:r>
      <w:bookmarkEnd w:id="73"/>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75"/>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6"/>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alcohol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7"/>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78" w:name="drugs"/>
      <w:r>
        <w:t xml:space="preserve">Drugs</w:t>
      </w:r>
      <w:bookmarkEnd w:id="78"/>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7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illicit drugs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80"/>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1" w:name="gambling"/>
      <w:r>
        <w:t xml:space="preserve">Gambling</w:t>
      </w:r>
      <w:bookmarkEnd w:id="81"/>
    </w:p>
    <w:p>
      <w:pPr>
        <w:pStyle w:val="FirstParagraph"/>
      </w:pPr>
      <w:r>
        <w:t xml:space="preserve">Data from the Victorian Responsible Gambling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82"/>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3"/>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1-1.png" id="0" name="Picture"/>
                    <pic:cNvPicPr>
                      <a:picLocks noChangeArrowheads="1" noChangeAspect="1"/>
                    </pic:cNvPicPr>
                  </pic:nvPicPr>
                  <pic:blipFill>
                    <a:blip r:embed="rId84"/>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85"/>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86" w:name="obesity"/>
      <w:r>
        <w:t xml:space="preserve">Obesity</w:t>
      </w:r>
      <w:bookmarkEnd w:id="86"/>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88"/>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89" w:name="physical-activity"/>
      <w:r>
        <w:t xml:space="preserve">Physical activity</w:t>
      </w:r>
      <w:bookmarkEnd w:id="89"/>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4-1.png" id="0" name="Picture"/>
                    <pic:cNvPicPr>
                      <a:picLocks noChangeArrowheads="1" noChangeAspect="1"/>
                    </pic:cNvPicPr>
                  </pic:nvPicPr>
                  <pic:blipFill>
                    <a:blip r:embed="rId90"/>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1" w:name="mental-health"/>
      <w:r>
        <w:t xml:space="preserve">Mental health</w:t>
      </w:r>
      <w:bookmarkEnd w:id="91"/>
    </w:p>
    <w:p>
      <w:pPr>
        <w:pStyle w:val="Compact"/>
        <w:numPr>
          <w:numId w:val="1006"/>
          <w:ilvl w:val="0"/>
        </w:numPr>
      </w:pPr>
      <w:r>
        <w:t xml:space="preserve">more from here:</w:t>
      </w:r>
      <w:r>
        <w:t xml:space="preserve"> </w:t>
      </w:r>
      <w:hyperlink r:id="rId92">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93"/>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6-1.png" id="0" name="Picture"/>
                    <pic:cNvPicPr>
                      <a:picLocks noChangeArrowheads="1" noChangeAspect="1"/>
                    </pic:cNvPicPr>
                  </pic:nvPicPr>
                  <pic:blipFill>
                    <a:blip r:embed="rId9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7-1.png" id="0" name="Picture"/>
                    <pic:cNvPicPr>
                      <a:picLocks noChangeArrowheads="1" noChangeAspect="1"/>
                    </pic:cNvPicPr>
                  </pic:nvPicPr>
                  <pic:blipFill>
                    <a:blip r:embed="rId95"/>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96" w:name="sexual-and-reporductive-health"/>
      <w:r>
        <w:t xml:space="preserve">Sexual and reporductive health</w:t>
      </w:r>
      <w:bookmarkEnd w:id="96"/>
    </w:p>
    <w:p>
      <w:pPr>
        <w:pStyle w:val="FirstParagraph"/>
      </w:pPr>
      <w:r>
        <w:t xml:space="preserve">Rates of chlamydia, gonorrhoea, and hepatitis B are lower in Moonee Valley than for the Metro West region, and are lower for females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9-1.png" id="0" name="Picture"/>
                    <pic:cNvPicPr>
                      <a:picLocks noChangeArrowheads="1" noChangeAspect="1"/>
                    </pic:cNvPicPr>
                  </pic:nvPicPr>
                  <pic:blipFill>
                    <a:blip r:embed="rId97"/>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98" w:name="family-violence"/>
      <w:r>
        <w:t xml:space="preserve">Family violence</w:t>
      </w:r>
      <w:bookmarkEnd w:id="98"/>
    </w:p>
    <w:p>
      <w:pPr>
        <w:pStyle w:val="Compact"/>
        <w:numPr>
          <w:numId w:val="1007"/>
          <w:ilvl w:val="0"/>
        </w:numPr>
      </w:pPr>
      <w:r>
        <w:t xml:space="preserve">and more from here:</w:t>
      </w:r>
      <w:r>
        <w:t xml:space="preserve"> </w:t>
      </w:r>
      <w:hyperlink r:id="rId99">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t xml:space="preserve">Data from the Crime Statistics Agency shows that family violence rates in Moonee Valley are lower when compared with the municipalities in the North West Metro region.</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1-1.png" id="0" name="Picture"/>
                    <pic:cNvPicPr>
                      <a:picLocks noChangeArrowheads="1" noChangeAspect="1"/>
                    </pic:cNvPicPr>
                  </pic:nvPicPr>
                  <pic:blipFill>
                    <a:blip r:embed="rId100"/>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1" w:name="births"/>
      <w:r>
        <w:t xml:space="preserve">Births</w:t>
      </w:r>
      <w:bookmarkEnd w:id="101"/>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BodyText"/>
      </w:pPr>
      <w:r>
        <w:t xml:space="preserve">\</w:t>
      </w:r>
    </w:p>
    <w:p>
      <w:pPr>
        <w:pStyle w:val="BodyText"/>
      </w:pPr>
      <w:r>
        <w:t xml:space="preserve">The teenage birth rate in Moonee Valley is lower than the rate for the Metro West region. The rate was 1.83 per 1,000 population compared to 7.6 per 1,000.</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53-1.png" id="0" name="Picture"/>
                    <pic:cNvPicPr>
                      <a:picLocks noChangeArrowheads="1" noChangeAspect="1"/>
                    </pic:cNvPicPr>
                  </pic:nvPicPr>
                  <pic:blipFill>
                    <a:blip r:embed="rId102"/>
                    <a:stretch>
                      <a:fillRect/>
                    </a:stretch>
                  </pic:blipFill>
                  <pic:spPr bwMode="auto">
                    <a:xfrm>
                      <a:off x="0" y="0"/>
                      <a:ext cx="5727700" cy="1636485"/>
                    </a:xfrm>
                    <a:prstGeom prst="rect">
                      <a:avLst/>
                    </a:prstGeom>
                    <a:noFill/>
                    <a:ln w="9525">
                      <a:noFill/>
                      <a:headEnd/>
                      <a:tailEnd/>
                    </a:ln>
                  </pic:spPr>
                </pic:pic>
              </a:graphicData>
            </a:graphic>
          </wp:inline>
        </w:drawing>
      </w:r>
    </w:p>
    <w:p>
      <w:r>
        <w:br w:type="page"/>
      </w:r>
    </w:p>
    <w:p>
      <w:pPr>
        <w:pStyle w:val="Heading1"/>
      </w:pPr>
      <w:bookmarkStart w:id="103" w:name="aged-care"/>
      <w:r>
        <w:t xml:space="preserve">Aged care</w:t>
      </w:r>
      <w:bookmarkEnd w:id="103"/>
    </w:p>
    <w:p>
      <w:pPr>
        <w:pStyle w:val="FirstParagraph"/>
      </w:pPr>
      <w:r>
        <w:t xml:space="preserve">Data from the Australian Institute of Health and Wellbeing shows that in June 2019, there were 1,168 residential aged care places in the City of Moonee Valley. The majority of aged care facilities in Moonee Valley are not-for profit facilities or private facilities.</w:t>
      </w:r>
    </w:p>
    <w:p>
      <w:pPr>
        <w:pStyle w:val="BodyText"/>
      </w:pPr>
      <w:r>
        <w:drawing>
          <wp:inline>
            <wp:extent cx="5727700" cy="3682092"/>
            <wp:effectExtent b="0" l="0" r="0" t="0"/>
            <wp:docPr descr="" title="" id="1" name="Picture"/>
            <a:graphic>
              <a:graphicData uri="http://schemas.openxmlformats.org/drawingml/2006/picture">
                <pic:pic>
                  <pic:nvPicPr>
                    <pic:cNvPr descr="health_profile_doc_files/figure-docx/unnamed-chunk-54-1.png" id="0" name="Picture"/>
                    <pic:cNvPicPr>
                      <a:picLocks noChangeArrowheads="1" noChangeAspect="1"/>
                    </pic:cNvPicPr>
                  </pic:nvPicPr>
                  <pic:blipFill>
                    <a:blip r:embed="rId104"/>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105"/>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106" w:name="death"/>
      <w:r>
        <w:t xml:space="preserve">Death</w:t>
      </w:r>
      <w:bookmarkEnd w:id="106"/>
    </w:p>
    <w:p>
      <w:pPr>
        <w:pStyle w:val="Heading3"/>
      </w:pPr>
      <w:bookmarkStart w:id="107" w:name="premature-deaths"/>
      <w:r>
        <w:t xml:space="preserve">Premature deaths</w:t>
      </w:r>
      <w:bookmarkEnd w:id="107"/>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6-1.png" id="0" name="Picture"/>
                    <pic:cNvPicPr>
                      <a:picLocks noChangeArrowheads="1" noChangeAspect="1"/>
                    </pic:cNvPicPr>
                  </pic:nvPicPr>
                  <pic:blipFill>
                    <a:blip r:embed="rId108"/>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109" w:name="top-causes-of-death"/>
      <w:r>
        <w:t xml:space="preserve">Top causes of death</w:t>
      </w:r>
      <w:bookmarkEnd w:id="109"/>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r>
        <w:br w:type="page"/>
      </w:r>
    </w:p>
    <w:p>
      <w:pPr>
        <w:pStyle w:val="Heading1"/>
      </w:pPr>
      <w:bookmarkStart w:id="110" w:name="references"/>
      <w:r>
        <w:t xml:space="preserve">References</w:t>
      </w:r>
      <w:bookmarkEnd w:id="110"/>
    </w:p>
    <w:p>
      <w:pPr>
        <w:pStyle w:val="FirstParagraph"/>
      </w:pPr>
      <w:r>
        <w:t xml:space="preserve">Australian Bureau of Statistics, 2016,</w:t>
      </w:r>
      <w:r>
        <w:t xml:space="preserve"> </w:t>
      </w:r>
      <w:r>
        <w:rPr>
          <w:i/>
        </w:rPr>
        <w:t xml:space="preserve">Census of Population and Housing, 2016</w:t>
      </w:r>
      <w:r>
        <w:t xml:space="preserve">, Australian Government, Canberra.</w:t>
      </w:r>
    </w:p>
    <w:p>
      <w:pPr>
        <w:pStyle w:val="BodyText"/>
      </w:pPr>
      <w:r>
        <w:t xml:space="preserve">Australian Institute of Health and Wellbeing, 2020,</w:t>
      </w:r>
      <w:r>
        <w:t xml:space="preserve"> </w:t>
      </w:r>
      <w:r>
        <w:t xml:space="preserve">‘</w:t>
      </w:r>
      <w:r>
        <w:t xml:space="preserve">Aged Care Service List</w:t>
      </w:r>
      <w:r>
        <w:t xml:space="preserve">’</w:t>
      </w:r>
      <w:r>
        <w:t xml:space="preserve">, Department of Health, Australian Government, Canberra,</w:t>
      </w:r>
      <w:r>
        <w:t xml:space="preserve"> </w:t>
      </w:r>
      <w:hyperlink r:id="rId111">
        <w:r>
          <w:rPr>
            <w:rStyle w:val="Hyperlink"/>
          </w:rPr>
          <w:t xml:space="preserve">https://hwd.health.gov.au/datatool.html</w:t>
        </w:r>
      </w:hyperlink>
      <w:r>
        <w:t xml:space="preserve">, accessed 22 September 2020.</w:t>
      </w:r>
    </w:p>
    <w:p>
      <w:pPr>
        <w:pStyle w:val="BodyText"/>
      </w:pPr>
      <w:r>
        <w:t xml:space="preserve">Australian Institute of Health and Wellbeing, 2020,</w:t>
      </w:r>
      <w:r>
        <w:t xml:space="preserve"> </w:t>
      </w:r>
      <w:r>
        <w:t xml:space="preserve">‘</w:t>
      </w:r>
      <w:r>
        <w:t xml:space="preserve">Mortality Over Regions and Time</w:t>
      </w:r>
      <w:r>
        <w:t xml:space="preserve">’</w:t>
      </w:r>
      <w:r>
        <w:t xml:space="preserve">, Department of Health, Australian Government, Canberra,</w:t>
      </w:r>
      <w:r>
        <w:t xml:space="preserve"> </w:t>
      </w:r>
      <w:hyperlink r:id="rId112">
        <w:r>
          <w:rPr>
            <w:rStyle w:val="Hyperlink"/>
          </w:rPr>
          <w:t xml:space="preserve">https://www.aihw.gov.au/reports/life-expectancy-death/mort-books/contents/mort-books</w:t>
        </w:r>
      </w:hyperlink>
      <w:r>
        <w:t xml:space="preserve">, accessed 22 September 2020.</w:t>
      </w:r>
    </w:p>
    <w:p>
      <w:pPr>
        <w:pStyle w:val="BodyText"/>
      </w:pPr>
      <w:r>
        <w:t xml:space="preserve">Australian Institute of Health and Wellbeing, 2020,</w:t>
      </w:r>
      <w:r>
        <w:t xml:space="preserve"> </w:t>
      </w:r>
      <w:r>
        <w:t xml:space="preserve">‘</w:t>
      </w:r>
      <w:r>
        <w:t xml:space="preserve">National Health Workforce Data Set</w:t>
      </w:r>
      <w:r>
        <w:t xml:space="preserve">’</w:t>
      </w:r>
      <w:r>
        <w:t xml:space="preserve">, Department of Health, Australian Government, Canberra,</w:t>
      </w:r>
      <w:r>
        <w:t xml:space="preserve"> </w:t>
      </w:r>
      <w:hyperlink r:id="rId113">
        <w:r>
          <w:rPr>
            <w:rStyle w:val="Hyperlink"/>
          </w:rPr>
          <w:t xml:space="preserve">https://www.gen-agedcaredata.gov.au/resources/access-data/2019/september/aged-care-service-list-30-june-2019</w:t>
        </w:r>
      </w:hyperlink>
      <w:r>
        <w:t xml:space="preserve">, accessed 22 September 2020.</w:t>
      </w:r>
    </w:p>
    <w:p>
      <w:pPr>
        <w:pStyle w:val="BodyText"/>
      </w:pPr>
      <w:r>
        <w:t xml:space="preserve">Australian Institute of Health and Wellbeing, 2020,</w:t>
      </w:r>
      <w:r>
        <w:t xml:space="preserve"> </w:t>
      </w:r>
      <w:r>
        <w:t xml:space="preserve">‘</w:t>
      </w:r>
      <w:r>
        <w:t xml:space="preserve">National cancer screening programs participation data</w:t>
      </w:r>
      <w:r>
        <w:t xml:space="preserve">’</w:t>
      </w:r>
      <w:r>
        <w:t xml:space="preserve">, Department of Health, Australian Government, Canberra,</w:t>
      </w:r>
      <w:r>
        <w:t xml:space="preserve"> </w:t>
      </w:r>
      <w:hyperlink r:id="rId114">
        <w:r>
          <w:rPr>
            <w:rStyle w:val="Hyperlink"/>
          </w:rPr>
          <w:t xml:space="preserve">https://www.aihw.gov.au/reports/cancer-screening/national-cancer-screening-programs-participation/contents/summary</w:t>
        </w:r>
      </w:hyperlink>
      <w:r>
        <w:t xml:space="preserve">, accessed 22 September 2020.</w:t>
      </w:r>
    </w:p>
    <w:p>
      <w:pPr>
        <w:pStyle w:val="BodyText"/>
      </w:pPr>
      <w:r>
        <w:t xml:space="preserve">Crime Statistics Agency, 2020,</w:t>
      </w:r>
      <w:r>
        <w:t xml:space="preserve"> </w:t>
      </w:r>
      <w:r>
        <w:t xml:space="preserve">‘</w:t>
      </w:r>
      <w:r>
        <w:t xml:space="preserve">Latest Victorian Crime Data</w:t>
      </w:r>
      <w:r>
        <w:t xml:space="preserve">’</w:t>
      </w:r>
      <w:r>
        <w:t xml:space="preserve">, Victorian Government, Melbourne,</w:t>
      </w:r>
      <w:r>
        <w:t xml:space="preserve"> </w:t>
      </w:r>
      <w:hyperlink r:id="rId115">
        <w:r>
          <w:rPr>
            <w:rStyle w:val="Hyperlink"/>
          </w:rPr>
          <w:t xml:space="preserve">https://www.crimestatistics.vic.gov.au/crime-statistics/latest-victorian-crime-data</w:t>
        </w:r>
      </w:hyperlink>
      <w:r>
        <w:t xml:space="preserve">, accessed 22 September 2020.</w:t>
      </w:r>
    </w:p>
    <w:p>
      <w:pPr>
        <w:pStyle w:val="BodyText"/>
      </w:pPr>
      <w:r>
        <w:t xml:space="preserve">Department of Education, Skills and Employment, 2020,</w:t>
      </w:r>
      <w:r>
        <w:t xml:space="preserve"> </w:t>
      </w:r>
      <w:r>
        <w:t xml:space="preserve">‘</w:t>
      </w:r>
      <w:r>
        <w:t xml:space="preserve">Small Area Labour Markets</w:t>
      </w:r>
      <w:r>
        <w:t xml:space="preserve">’</w:t>
      </w:r>
      <w:r>
        <w:t xml:space="preserve">, Australian Government, Canberra,</w:t>
      </w:r>
      <w:r>
        <w:t xml:space="preserve"> </w:t>
      </w:r>
      <w:hyperlink r:id="rId116">
        <w:r>
          <w:rPr>
            <w:rStyle w:val="Hyperlink"/>
          </w:rPr>
          <w:t xml:space="preserve">https://www.employment.gov.au/small-area-labour-markets-publication-0</w:t>
        </w:r>
      </w:hyperlink>
      <w:r>
        <w:t xml:space="preserve">, accessed 22 September 2020.</w:t>
      </w:r>
    </w:p>
    <w:p>
      <w:pPr>
        <w:pStyle w:val="BodyText"/>
      </w:pPr>
      <w:r>
        <w:t xml:space="preserve">Department of Environment, Land, Water and Planning, 2020,</w:t>
      </w:r>
      <w:r>
        <w:t xml:space="preserve"> </w:t>
      </w:r>
      <w:r>
        <w:rPr>
          <w:i/>
        </w:rPr>
        <w:t xml:space="preserve">Heat Vulnerabilty Index</w:t>
      </w:r>
      <w:r>
        <w:t xml:space="preserve">, Victorian Government, Melbourne.</w:t>
      </w:r>
    </w:p>
    <w:p>
      <w:pPr>
        <w:pStyle w:val="BodyText"/>
      </w:pPr>
      <w:r>
        <w:t xml:space="preserve">Dental Health Services Victoria, 2020,</w:t>
      </w:r>
      <w:r>
        <w:t xml:space="preserve"> </w:t>
      </w:r>
      <w:r>
        <w:rPr>
          <w:i/>
        </w:rPr>
        <w:t xml:space="preserve">City of Moonee Valley Oral Health Profile</w:t>
      </w:r>
      <w:r>
        <w:t xml:space="preserve">, Department of Health and Human Services, Victorian Government, Melbourne.</w:t>
      </w:r>
    </w:p>
    <w:p>
      <w:pPr>
        <w:pStyle w:val="BodyText"/>
      </w:pPr>
      <w:r>
        <w:t xml:space="preserve">Department of Health and Human Services, 2020,</w:t>
      </w:r>
      <w:r>
        <w:t xml:space="preserve"> </w:t>
      </w:r>
      <w:r>
        <w:t xml:space="preserve">‘</w:t>
      </w:r>
      <w:r>
        <w:t xml:space="preserve">Rental Report</w:t>
      </w:r>
      <w:r>
        <w:t xml:space="preserve">’</w:t>
      </w:r>
      <w:r>
        <w:t xml:space="preserve">, Victorian Government, Melbourne,</w:t>
      </w:r>
      <w:r>
        <w:t xml:space="preserve"> </w:t>
      </w:r>
      <w:hyperlink r:id="rId117">
        <w:r>
          <w:rPr>
            <w:rStyle w:val="Hyperlink"/>
          </w:rPr>
          <w:t xml:space="preserve">https://www.dhhs.vic.gov.au/publications/rental-report</w:t>
        </w:r>
      </w:hyperlink>
      <w:r>
        <w:t xml:space="preserve">, accessed 22 September 2020.</w:t>
      </w:r>
    </w:p>
    <w:p>
      <w:pPr>
        <w:pStyle w:val="BodyText"/>
      </w:pPr>
      <w:r>
        <w:t xml:space="preserve">Department of Health and Human Services, 2017,</w:t>
      </w:r>
      <w:r>
        <w:t xml:space="preserve"> </w:t>
      </w:r>
      <w:r>
        <w:rPr>
          <w:i/>
        </w:rPr>
        <w:t xml:space="preserve">Victorian Population Health Survey 2017</w:t>
      </w:r>
      <w:r>
        <w:t xml:space="preserve">, Victorian Government, Melbourne.</w:t>
      </w:r>
    </w:p>
    <w:p>
      <w:pPr>
        <w:pStyle w:val="BodyText"/>
      </w:pPr>
      <w:r>
        <w:t xml:space="preserve">.id consulting,</w:t>
      </w:r>
      <w:r>
        <w:t xml:space="preserve"> </w:t>
      </w:r>
      <w:r>
        <w:rPr>
          <w:i/>
        </w:rPr>
        <w:t xml:space="preserve">Moonee Valley Population Forecasts</w:t>
      </w:r>
      <w:r>
        <w:t xml:space="preserve">, December 2017.</w:t>
      </w:r>
    </w:p>
    <w:p>
      <w:pPr>
        <w:pStyle w:val="BodyText"/>
      </w:pPr>
      <w:r>
        <w:t xml:space="preserve">Moonee Valley City Council, 2020,</w:t>
      </w:r>
      <w:r>
        <w:t xml:space="preserve"> </w:t>
      </w:r>
      <w:r>
        <w:rPr>
          <w:i/>
        </w:rPr>
        <w:t xml:space="preserve">Moonee Valley Community Survey</w:t>
      </w:r>
      <w:r>
        <w:t xml:space="preserve">, MVCC, Moonee Ponds.</w:t>
      </w:r>
    </w:p>
    <w:p>
      <w:pPr>
        <w:pStyle w:val="BodyText"/>
      </w:pPr>
      <w:r>
        <w:t xml:space="preserve">Turning Point, 2020,</w:t>
      </w:r>
      <w:r>
        <w:t xml:space="preserve"> </w:t>
      </w:r>
      <w:r>
        <w:t xml:space="preserve">‘</w:t>
      </w:r>
      <w:r>
        <w:t xml:space="preserve">AODStats</w:t>
      </w:r>
      <w:r>
        <w:t xml:space="preserve">’</w:t>
      </w:r>
      <w:r>
        <w:t xml:space="preserve">, Eastern Health,</w:t>
      </w:r>
      <w:r>
        <w:t xml:space="preserve"> </w:t>
      </w:r>
      <w:hyperlink r:id="rId118">
        <w:r>
          <w:rPr>
            <w:rStyle w:val="Hyperlink"/>
          </w:rPr>
          <w:t xml:space="preserve">https://aodstats.org.au/index.php</w:t>
        </w:r>
      </w:hyperlink>
      <w:r>
        <w:t xml:space="preserve">, accessed 22 September 2020.</w:t>
      </w:r>
    </w:p>
    <w:p>
      <w:pPr>
        <w:pStyle w:val="BodyText"/>
      </w:pPr>
      <w:r>
        <w:t xml:space="preserve">Victorian Commission for Gambling and Liquor Regulation,</w:t>
      </w:r>
      <w:r>
        <w:t xml:space="preserve"> </w:t>
      </w:r>
      <w:r>
        <w:t xml:space="preserve">‘</w:t>
      </w:r>
      <w:r>
        <w:t xml:space="preserve">Gambling data</w:t>
      </w:r>
      <w:r>
        <w:t xml:space="preserve">’</w:t>
      </w:r>
      <w:r>
        <w:t xml:space="preserve">, Victorian Government, Melbourne,</w:t>
      </w:r>
      <w:r>
        <w:t xml:space="preserve"> </w:t>
      </w:r>
      <w:hyperlink r:id="rId119">
        <w:r>
          <w:rPr>
            <w:rStyle w:val="Hyperlink"/>
          </w:rPr>
          <w:t xml:space="preserve">https://www.vcglr.vic.gov.au/gambling-data</w:t>
        </w:r>
      </w:hyperlink>
      <w:r>
        <w:t xml:space="preserve">, accessed 22 September 2020.</w:t>
      </w:r>
    </w:p>
    <w:p>
      <w:pPr>
        <w:pStyle w:val="BodyText"/>
      </w:pPr>
      <w:r>
        <w:t xml:space="preserve">Victorian Commission for Gambling and Liquor Regulation,</w:t>
      </w:r>
      <w:r>
        <w:t xml:space="preserve"> </w:t>
      </w:r>
      <w:r>
        <w:t xml:space="preserve">‘</w:t>
      </w:r>
      <w:r>
        <w:t xml:space="preserve">Liquor data</w:t>
      </w:r>
      <w:r>
        <w:t xml:space="preserve">’</w:t>
      </w:r>
      <w:r>
        <w:t xml:space="preserve">, Victorian Government, Melbourne,</w:t>
      </w:r>
      <w:r>
        <w:t xml:space="preserve"> </w:t>
      </w:r>
      <w:hyperlink r:id="rId120">
        <w:r>
          <w:rPr>
            <w:rStyle w:val="Hyperlink"/>
          </w:rPr>
          <w:t xml:space="preserve">https://www.vcglr.vic.gov.au/liquor-data</w:t>
        </w:r>
      </w:hyperlink>
      <w:r>
        <w:t xml:space="preserve">, accessed 22 September 2020.</w:t>
      </w:r>
    </w:p>
    <w:p>
      <w:pPr>
        <w:pStyle w:val="BodyText"/>
      </w:pPr>
      <w:r>
        <w:t xml:space="preserve">Victorian Responsible Gambling Foundation, 2020,</w:t>
      </w:r>
      <w:r>
        <w:t xml:space="preserve"> </w:t>
      </w:r>
      <w:r>
        <w:t xml:space="preserve">‘</w:t>
      </w:r>
      <w:r>
        <w:t xml:space="preserve">Pokies across Victoria</w:t>
      </w:r>
      <w:r>
        <w:t xml:space="preserve">’</w:t>
      </w:r>
      <w:r>
        <w:t xml:space="preserve">, Victorian Government, Melbourne,</w:t>
      </w:r>
      <w:r>
        <w:t xml:space="preserve"> </w:t>
      </w:r>
      <w:hyperlink r:id="rId121">
        <w:r>
          <w:rPr>
            <w:rStyle w:val="Hyperlink"/>
          </w:rPr>
          <w:t xml:space="preserve">https://responsiblegambling.vic.gov.au/resources/gambling-victoria/pokies-across-victoria/moonee-valley/</w:t>
        </w:r>
      </w:hyperlink>
      <w:r>
        <w:t xml:space="preserve">, accessed 22 September 2020.</w:t>
      </w:r>
    </w:p>
    <w:p>
      <w:pPr>
        <w:pStyle w:val="BodyText"/>
      </w:pPr>
      <w:r>
        <w:t xml:space="preserve">Women’s Health West, 2019,</w:t>
      </w:r>
      <w:r>
        <w:t xml:space="preserve"> </w:t>
      </w:r>
      <w:r>
        <w:t xml:space="preserve">‘</w:t>
      </w:r>
      <w:r>
        <w:t xml:space="preserve">Women’s Health Atlas</w:t>
      </w:r>
      <w:r>
        <w:t xml:space="preserve">’</w:t>
      </w:r>
      <w:r>
        <w:t xml:space="preserve">,</w:t>
      </w:r>
      <w:r>
        <w:t xml:space="preserve"> </w:t>
      </w:r>
      <w:hyperlink r:id="rId122">
        <w:r>
          <w:rPr>
            <w:rStyle w:val="Hyperlink"/>
          </w:rPr>
          <w:t xml:space="preserve">https://victorianwomenshealthatlas.net.au</w:t>
        </w:r>
      </w:hyperlink>
      <w:r>
        <w:t xml:space="preserve">, accessed 22 September 2020.</w:t>
      </w:r>
    </w:p>
    <w:p>
      <w:r>
        <w:br w:type="page"/>
      </w:r>
    </w:p>
    <w:p>
      <w:pPr>
        <w:pStyle w:val="Heading1"/>
      </w:pPr>
      <w:bookmarkStart w:id="123" w:name="appendices"/>
      <w:r>
        <w:t xml:space="preserve">Appendices</w:t>
      </w:r>
      <w:bookmarkEnd w:id="123"/>
    </w:p>
    <w:p>
      <w:pPr>
        <w:pStyle w:val="Heading2"/>
      </w:pPr>
      <w:bookmarkStart w:id="124" w:name="X7c8046dbba798b723dc2c6164b556230d8e1812"/>
      <w:r>
        <w:t xml:space="preserve">Victorian Population Health Survey 2017 data, comparison against other local government areas</w:t>
      </w:r>
      <w:bookmarkEnd w:id="124"/>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59-1.png" id="0" name="Picture"/>
                    <pic:cNvPicPr>
                      <a:picLocks noChangeArrowheads="1" noChangeAspect="1"/>
                    </pic:cNvPicPr>
                  </pic:nvPicPr>
                  <pic:blipFill>
                    <a:blip r:embed="rId125"/>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25" Target="media/rId2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25" Target="media/rId1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82" Target="media/rId82.png"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hyperlink" Id="rId118" Target="https://aodstats.org.au/index.php" TargetMode="External" /><Relationship Type="http://schemas.openxmlformats.org/officeDocument/2006/relationships/hyperlink" Id="rId111" Target="https://hwd.health.gov.au/datatool.html" TargetMode="External" /><Relationship Type="http://schemas.openxmlformats.org/officeDocument/2006/relationships/hyperlink" Id="rId121" Target="https://responsiblegambling.vic.gov.au/resources/gambling-victoria/pokies-across-victoria/moonee-valley/" TargetMode="External" /><Relationship Type="http://schemas.openxmlformats.org/officeDocument/2006/relationships/hyperlink" Id="rId122" Target="https://victorianwomenshealthatlas.net.au" TargetMode="External" /><Relationship Type="http://schemas.openxmlformats.org/officeDocument/2006/relationships/hyperlink" Id="rId65" Target="https://victorianwomenshealthatlas.net.au/reports%2Ffactsheets%2FCancer%2FMoonee%20Valley%2FVWHAtlas%20Fact%20Sheet%20Cancer%20Moonee%20Valley.pdf" TargetMode="External" /><Relationship Type="http://schemas.openxmlformats.org/officeDocument/2006/relationships/hyperlink" Id="rId47" Target="https://victorianwomenshealthatlas.net.au/reports%2Ffactsheets%2FGender%20Equality%2FMoonee%20Valley%2FVWHAtlas%20Fact%20Sheet%20Gender%20Equality%20Moonee%20Valley.pdf" TargetMode="External" /><Relationship Type="http://schemas.openxmlformats.org/officeDocument/2006/relationships/hyperlink" Id="rId92" Target="https://victorianwomenshealthatlas.net.au/reports%2Ffactsheets%2FMental%20Health%2FMoonee%20Valley%2FVWHAtlas%20Fact%20Sheet%20Mental%20Health%20Moonee%20Valley.pdf" TargetMode="External" /><Relationship Type="http://schemas.openxmlformats.org/officeDocument/2006/relationships/hyperlink" Id="rId99"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2" Target="https://www.aihw.gov.au/reports-data/australias-health" TargetMode="External" /><Relationship Type="http://schemas.openxmlformats.org/officeDocument/2006/relationships/hyperlink" Id="rId114" Target="https://www.aihw.gov.au/reports/cancer-screening/national-cancer-screening-programs-participation/contents/summary" TargetMode="External" /><Relationship Type="http://schemas.openxmlformats.org/officeDocument/2006/relationships/hyperlink" Id="rId112" Target="https://www.aihw.gov.au/reports/life-expectancy-death/mort-books/contents/mort-books" TargetMode="External" /><Relationship Type="http://schemas.openxmlformats.org/officeDocument/2006/relationships/hyperlink" Id="rId115" Target="https://www.crimestatistics.vic.gov.au/crime-statistics/latest-victorian-crime-data" TargetMode="External" /><Relationship Type="http://schemas.openxmlformats.org/officeDocument/2006/relationships/hyperlink" Id="rId117" Target="https://www.dhhs.vic.gov.au/publications/rental-report" TargetMode="External" /><Relationship Type="http://schemas.openxmlformats.org/officeDocument/2006/relationships/hyperlink" Id="rId116" Target="https://www.employment.gov.au/small-area-labour-markets-publication-0" TargetMode="External" /><Relationship Type="http://schemas.openxmlformats.org/officeDocument/2006/relationships/hyperlink" Id="rId113" Target="https://www.gen-agedcaredata.gov.au/resources/access-data/2019/september/aged-care-service-list-30-june-2019" TargetMode="External" /><Relationship Type="http://schemas.openxmlformats.org/officeDocument/2006/relationships/hyperlink" Id="rId119" Target="https://www.vcglr.vic.gov.au/gambling-data" TargetMode="External" /><Relationship Type="http://schemas.openxmlformats.org/officeDocument/2006/relationships/hyperlink" Id="rId120" Target="https://www.vcglr.vic.gov.au/liquor-data" TargetMode="External" /></Relationships>
</file>

<file path=word/_rels/footnotes.xml.rels><?xml version="1.0" encoding="UTF-8"?>
<Relationships xmlns="http://schemas.openxmlformats.org/package/2006/relationships"><Relationship Type="http://schemas.openxmlformats.org/officeDocument/2006/relationships/hyperlink" Id="rId118" Target="https://aodstats.org.au/index.php" TargetMode="External" /><Relationship Type="http://schemas.openxmlformats.org/officeDocument/2006/relationships/hyperlink" Id="rId111" Target="https://hwd.health.gov.au/datatool.html" TargetMode="External" /><Relationship Type="http://schemas.openxmlformats.org/officeDocument/2006/relationships/hyperlink" Id="rId121" Target="https://responsiblegambling.vic.gov.au/resources/gambling-victoria/pokies-across-victoria/moonee-valley/" TargetMode="External" /><Relationship Type="http://schemas.openxmlformats.org/officeDocument/2006/relationships/hyperlink" Id="rId122" Target="https://victorianwomenshealthatlas.net.au" TargetMode="External" /><Relationship Type="http://schemas.openxmlformats.org/officeDocument/2006/relationships/hyperlink" Id="rId65" Target="https://victorianwomenshealthatlas.net.au/reports%2Ffactsheets%2FCancer%2FMoonee%20Valley%2FVWHAtlas%20Fact%20Sheet%20Cancer%20Moonee%20Valley.pdf" TargetMode="External" /><Relationship Type="http://schemas.openxmlformats.org/officeDocument/2006/relationships/hyperlink" Id="rId47" Target="https://victorianwomenshealthatlas.net.au/reports%2Ffactsheets%2FGender%20Equality%2FMoonee%20Valley%2FVWHAtlas%20Fact%20Sheet%20Gender%20Equality%20Moonee%20Valley.pdf" TargetMode="External" /><Relationship Type="http://schemas.openxmlformats.org/officeDocument/2006/relationships/hyperlink" Id="rId92" Target="https://victorianwomenshealthatlas.net.au/reports%2Ffactsheets%2FMental%20Health%2FMoonee%20Valley%2FVWHAtlas%20Fact%20Sheet%20Mental%20Health%20Moonee%20Valley.pdf" TargetMode="External" /><Relationship Type="http://schemas.openxmlformats.org/officeDocument/2006/relationships/hyperlink" Id="rId99"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2" Target="https://www.aihw.gov.au/reports-data/australias-health" TargetMode="External" /><Relationship Type="http://schemas.openxmlformats.org/officeDocument/2006/relationships/hyperlink" Id="rId114" Target="https://www.aihw.gov.au/reports/cancer-screening/national-cancer-screening-programs-participation/contents/summary" TargetMode="External" /><Relationship Type="http://schemas.openxmlformats.org/officeDocument/2006/relationships/hyperlink" Id="rId112" Target="https://www.aihw.gov.au/reports/life-expectancy-death/mort-books/contents/mort-books" TargetMode="External" /><Relationship Type="http://schemas.openxmlformats.org/officeDocument/2006/relationships/hyperlink" Id="rId115" Target="https://www.crimestatistics.vic.gov.au/crime-statistics/latest-victorian-crime-data" TargetMode="External" /><Relationship Type="http://schemas.openxmlformats.org/officeDocument/2006/relationships/hyperlink" Id="rId117" Target="https://www.dhhs.vic.gov.au/publications/rental-report" TargetMode="External" /><Relationship Type="http://schemas.openxmlformats.org/officeDocument/2006/relationships/hyperlink" Id="rId116" Target="https://www.employment.gov.au/small-area-labour-markets-publication-0" TargetMode="External" /><Relationship Type="http://schemas.openxmlformats.org/officeDocument/2006/relationships/hyperlink" Id="rId113" Target="https://www.gen-agedcaredata.gov.au/resources/access-data/2019/september/aged-care-service-list-30-june-2019" TargetMode="External" /><Relationship Type="http://schemas.openxmlformats.org/officeDocument/2006/relationships/hyperlink" Id="rId119" Target="https://www.vcglr.vic.gov.au/gambling-data" TargetMode="External" /><Relationship Type="http://schemas.openxmlformats.org/officeDocument/2006/relationships/hyperlink" Id="rId120" Target="https://www.vcglr.vic.gov.au/liquor-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2020-10-06T02:27:34Z</dcterms:created>
  <dcterms:modified xsi:type="dcterms:W3CDTF">2020-10-06T02:27:34Z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