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4.png" ContentType="image/png"/>
  <Override PartName="/word/media/rId36.png" ContentType="image/png"/>
  <Override PartName="/word/media/rId39.png" ContentType="image/png"/>
  <Override PartName="/word/media/rId42.png" ContentType="image/png"/>
  <Override PartName="/word/media/rId44.png" ContentType="image/png"/>
  <Override PartName="/word/media/rId46.png" ContentType="image/png"/>
  <Override PartName="/word/media/rId47.png" ContentType="image/png"/>
  <Override PartName="/word/media/rId50.png" ContentType="image/png"/>
  <Override PartName="/word/media/rId58.png" ContentType="image/png"/>
  <Override PartName="/word/media/rId60.png" ContentType="image/png"/>
  <Override PartName="/word/media/rId61.png" ContentType="image/png"/>
  <Override PartName="/word/media/rId62.png" ContentType="image/png"/>
  <Override PartName="/word/media/rId29.png" ContentType="image/png"/>
  <Override PartName="/word/media/rId65.png" ContentType="image/png"/>
  <Override PartName="/word/media/rId68.png" ContentType="image/png"/>
  <Override PartName="/word/media/rId69.png" ContentType="image/png"/>
  <Override PartName="/word/media/rId73.png" ContentType="image/png"/>
  <Override PartName="/word/media/rId74.png" ContentType="image/png"/>
  <Override PartName="/word/media/rId75.png" ContentType="image/png"/>
  <Override PartName="/word/media/rId77.png" ContentType="image/png"/>
  <Override PartName="/word/media/rId80.png" ContentType="image/png"/>
  <Override PartName="/word/media/rId81.png" ContentType="image/png"/>
  <Override PartName="/word/media/rId84.png" ContentType="image/png"/>
  <Override PartName="/word/media/rId85.png" ContentType="image/png"/>
  <Override PartName="/word/media/rId87.png" ContentType="image/png"/>
  <Override PartName="/word/media/rId89.png" ContentType="image/png"/>
  <Override PartName="/word/media/rId90.png" ContentType="image/png"/>
  <Override PartName="/word/media/rId92.png" ContentType="image/png"/>
  <Override PartName="/word/media/rId93.png" ContentType="image/png"/>
  <Override PartName="/word/media/rId31.png" ContentType="image/png"/>
  <Override PartName="/word/media/rId96.png" ContentType="image/png"/>
  <Override PartName="/word/media/rId97.png" ContentType="image/png"/>
  <Override PartName="/word/media/rId100.png" ContentType="image/png"/>
  <Override PartName="/word/media/rId101.png" ContentType="image/png"/>
  <Override PartName="/word/media/rId103.png" ContentType="image/png"/>
  <Override PartName="/word/media/rId105.png" ContentType="image/png"/>
  <Override PartName="/word/media/rId106.png" ContentType="image/png"/>
  <Override PartName="/word/media/rId107.png" ContentType="image/png"/>
  <Override PartName="/word/media/rId109.png" ContentType="image/png"/>
  <Override PartName="/word/media/rId111.png" ContentType="image/png"/>
  <Override PartName="/word/media/rId113.png" ContentType="image/png"/>
  <Override PartName="/word/media/rId115.png" ContentType="image/png"/>
  <Override PartName="/word/media/rId117.png" ContentType="image/png"/>
  <Override PartName="/word/media/rId121.png" ContentType="image/png"/>
  <Override PartName="/word/media/rId143.png" ContentType="image/png"/>
  <Override PartName="/word/media/rId32.png" ContentType="image/png"/>
  <Override PartName="/word/media/rId33.png" ContentType="image/png"/>
  <Override PartName="/word/media/rId95.png" ContentType="image/png"/>
  <Override PartName="/word/media/rId118.png" ContentType="image/png"/>
  <Override PartName="/word/media/rId88.png" ContentType="image/png"/>
  <Override PartName="/word/media/rId98.png" ContentType="image/png"/>
  <Override PartName="/word/media/rId53.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Subtitle"/>
      </w:pPr>
      <w:r>
        <w:t xml:space="preserve">Indigenous</w:t>
      </w:r>
      <w:r>
        <w:t xml:space="preserve"> </w:t>
      </w:r>
      <w:r>
        <w:t xml:space="preserve">language</w:t>
      </w:r>
      <w:r>
        <w:t xml:space="preserve"> </w:t>
      </w:r>
      <w:r>
        <w:t xml:space="preserve">title</w:t>
      </w:r>
    </w:p>
    <w:p>
      <w:pPr>
        <w:pStyle w:val="Author"/>
      </w:pPr>
      <w:r>
        <w:t xml:space="preserve">add</w:t>
      </w:r>
      <w:r>
        <w:t xml:space="preserve"> </w:t>
      </w:r>
      <w:r>
        <w:t xml:space="preserve">artwork</w:t>
      </w:r>
      <w:r>
        <w:t xml:space="preserve"> </w:t>
      </w:r>
      <w:r>
        <w:t xml:space="preserve">and</w:t>
      </w:r>
      <w:r>
        <w:t xml:space="preserve"> </w:t>
      </w:r>
      <w:r>
        <w:t xml:space="preserve">council</w:t>
      </w:r>
      <w:r>
        <w:t xml:space="preserve"> </w:t>
      </w:r>
      <w:r>
        <w:t xml:space="preserve">logo</w:t>
      </w:r>
    </w:p>
    <w:p>
      <w:pPr>
        <w:pStyle w:val="Heading1"/>
      </w:pPr>
      <w:bookmarkStart w:id="20" w:name="acknowledgements"/>
      <w:r>
        <w:t xml:space="preserve">Acknowledgements</w:t>
      </w:r>
      <w:bookmarkEnd w:id="20"/>
    </w:p>
    <w:p>
      <w:pPr>
        <w:pStyle w:val="FirstParagraph"/>
      </w:pPr>
      <w:r>
        <w:t xml:space="preserve">Acknowledgement of country</w:t>
      </w:r>
    </w:p>
    <w:p>
      <w:pPr>
        <w:pStyle w:val="BodyText"/>
      </w:pPr>
      <w:r>
        <w:t xml:space="preserve">Other</w:t>
      </w:r>
    </w:p>
    <w:p>
      <w:pPr>
        <w:pStyle w:val="BodyText"/>
      </w:pPr>
      <w:r>
        <w:t xml:space="preserve">Other</w:t>
      </w:r>
    </w:p>
    <w:p>
      <w:pPr>
        <w:pStyle w:val="BodyText"/>
      </w:pPr>
      <w:r>
        <w:t xml:space="preserve">Women’s health sector</w:t>
      </w:r>
    </w:p>
    <w:p>
      <w:pPr>
        <w:pStyle w:val="BodyText"/>
      </w:pPr>
      <w:r>
        <w:t xml:space="preserve">Artist (artwork)</w:t>
      </w:r>
    </w:p>
    <w:p>
      <w:pPr>
        <w:pStyle w:val="BodyText"/>
      </w:pPr>
      <w:r>
        <w:t xml:space="preserve">November 2020</w:t>
      </w:r>
    </w:p>
    <w:p>
      <w:r>
        <w:br w:type="page"/>
      </w:r>
    </w:p>
    <w:p>
      <w:pPr>
        <w:pStyle w:val="Heading1"/>
      </w:pPr>
      <w:bookmarkStart w:id="21" w:name="executive-summary"/>
      <w:r>
        <w:t xml:space="preserve">Executive summary</w:t>
      </w:r>
      <w:bookmarkEnd w:id="21"/>
    </w:p>
    <w:p>
      <w:pPr>
        <w:pStyle w:val="FirstParagraph"/>
      </w:pPr>
      <w:r>
        <w:t xml:space="preserve">Some sort of infographic like the previous health tracker</w:t>
      </w:r>
    </w:p>
    <w:p>
      <w:r>
        <w:br w:type="page"/>
      </w:r>
    </w:p>
    <w:p>
      <w:pPr>
        <w:pStyle w:val="Heading1"/>
      </w:pPr>
      <w:bookmarkStart w:id="22" w:name="abbreviations"/>
      <w:r>
        <w:t xml:space="preserve">Abbreviations</w:t>
      </w:r>
      <w:bookmarkEnd w:id="22"/>
    </w:p>
    <w:p>
      <w:pPr>
        <w:pStyle w:val="FirstParagraph"/>
      </w:pPr>
      <w:r>
        <w:t xml:space="preserve">ABS - Australian Bureau of Statistics</w:t>
      </w:r>
    </w:p>
    <w:p>
      <w:pPr>
        <w:pStyle w:val="BodyText"/>
      </w:pPr>
      <w:r>
        <w:t xml:space="preserve">AIHW - Australian Institute of Health and Welfare</w:t>
      </w:r>
    </w:p>
    <w:p>
      <w:pPr>
        <w:pStyle w:val="BodyText"/>
      </w:pPr>
      <w:r>
        <w:t xml:space="preserve">CI - Confidence interval (to indicate the level of uncertainty in estimates)</w:t>
      </w:r>
    </w:p>
    <w:p>
      <w:pPr>
        <w:pStyle w:val="BodyText"/>
      </w:pPr>
      <w:r>
        <w:t xml:space="preserve">DHHS - Department of Health and Human Services (Victoria)</w:t>
      </w:r>
    </w:p>
    <w:p>
      <w:pPr>
        <w:pStyle w:val="BodyText"/>
      </w:pPr>
      <w:r>
        <w:t xml:space="preserve">IRSD - Index of Relative Socio-economic Disadvantage (this is one of the four SEIFA indices)</w:t>
      </w:r>
    </w:p>
    <w:p>
      <w:pPr>
        <w:pStyle w:val="BodyText"/>
      </w:pPr>
      <w:r>
        <w:t xml:space="preserve">SA2 - Statistical Area Level 2 (this is a geographical area that is part of the Australian Statistical Geography Standard)</w:t>
      </w:r>
    </w:p>
    <w:p>
      <w:pPr>
        <w:pStyle w:val="BodyText"/>
      </w:pPr>
      <w:r>
        <w:t xml:space="preserve">SEIFA - Socio-Economic Indexes for Areas - these are indices created by the ABS</w:t>
      </w:r>
    </w:p>
    <w:p>
      <w:r>
        <w:br w:type="page"/>
      </w:r>
    </w:p>
    <w:p>
      <w:pPr>
        <w:pStyle w:val="Heading1"/>
      </w:pPr>
      <w:bookmarkStart w:id="23" w:name="background"/>
      <w:r>
        <w:t xml:space="preserve">Background</w:t>
      </w:r>
      <w:bookmarkEnd w:id="23"/>
    </w:p>
    <w:p>
      <w:pPr>
        <w:pStyle w:val="FirstParagraph"/>
      </w:pPr>
      <w:r>
        <w:t xml:space="preserve">Legislative requirements</w:t>
      </w:r>
    </w:p>
    <w:p>
      <w:pPr>
        <w:pStyle w:val="BodyText"/>
      </w:pPr>
      <w:r>
        <w:t xml:space="preserve">2016 health profile?</w:t>
      </w:r>
    </w:p>
    <w:p>
      <w:pPr>
        <w:pStyle w:val="BodyText"/>
      </w:pPr>
      <w:r>
        <w:t xml:space="preserve">MV2040: a neighbourhood approach to health and wellbeing</w:t>
      </w:r>
    </w:p>
    <w:p>
      <w:pPr>
        <w:pStyle w:val="BodyText"/>
      </w:pPr>
      <w:r>
        <w:t xml:space="preserve">How to use this document (purpose, aim, approach, data available/LGA/neighbourhood level, gender/COVID/Aboriginal and Torres Strait Islander health, format, definitions, references)</w:t>
      </w:r>
    </w:p>
    <w:p>
      <w:r>
        <w:br w:type="page"/>
      </w:r>
    </w:p>
    <w:p>
      <w:pPr>
        <w:pStyle w:val="Heading1"/>
      </w:pPr>
      <w:bookmarkStart w:id="24" w:name="introduction-indigenous-language"/>
      <w:r>
        <w:t xml:space="preserve">Introduction (indigenous language)</w:t>
      </w:r>
      <w:bookmarkEnd w:id="24"/>
    </w:p>
    <w:p>
      <w:pPr>
        <w:pStyle w:val="FirstParagraph"/>
      </w:pPr>
      <w:r>
        <w:t xml:space="preserve">within the document, interleave with diagrams from</w:t>
      </w:r>
      <w:r>
        <w:t xml:space="preserve"> </w:t>
      </w:r>
      <w:hyperlink r:id="rId25">
        <w:r>
          <w:rPr>
            <w:rStyle w:val="Hyperlink"/>
          </w:rPr>
          <w:t xml:space="preserve">https://www.aihw.gov.au/reports-data/australias-health</w:t>
        </w:r>
      </w:hyperlink>
    </w:p>
    <w:p>
      <w:r>
        <w:br w:type="page"/>
      </w:r>
    </w:p>
    <w:p>
      <w:pPr>
        <w:pStyle w:val="Heading1"/>
      </w:pPr>
      <w:bookmarkStart w:id="26" w:name="location"/>
      <w:r>
        <w:t xml:space="preserve">Location</w:t>
      </w:r>
      <w:bookmarkEnd w:id="26"/>
    </w:p>
    <w:p>
      <w:pPr>
        <w:pStyle w:val="FirstParagraph"/>
      </w:pPr>
      <w:r>
        <w:t xml:space="preserve">add map - just take from MV2040 (p 32)</w:t>
      </w:r>
    </w:p>
    <w:p>
      <w:r>
        <w:br w:type="page"/>
      </w:r>
    </w:p>
    <w:p>
      <w:pPr>
        <w:pStyle w:val="Heading1"/>
      </w:pPr>
      <w:bookmarkStart w:id="27" w:name="X92314595f72101cad5c5a6bd2ed607ad98b50ea"/>
      <w:r>
        <w:t xml:space="preserve">Population and growth (indigenous language)</w:t>
      </w:r>
      <w:bookmarkEnd w:id="27"/>
    </w:p>
    <w:p>
      <w:pPr>
        <w:pStyle w:val="Heading2"/>
      </w:pPr>
      <w:bookmarkStart w:id="28" w:name="current-and-projected-populations"/>
      <w:r>
        <w:t xml:space="preserve">Current and projected populations</w:t>
      </w:r>
      <w:bookmarkEnd w:id="28"/>
    </w:p>
    <w:p>
      <w:pPr>
        <w:pStyle w:val="FirstParagraph"/>
      </w:pPr>
      <w:r>
        <w:t xml:space="preserve">The population of the City of Moonee Valley is forecast to increase from approximately 130,000 residents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9"/>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30" w:name="age-breakdown"/>
      <w:r>
        <w:t xml:space="preserve">Age breakdown</w:t>
      </w:r>
      <w:bookmarkEnd w:id="30"/>
    </w:p>
    <w:p>
      <w:pPr>
        <w:pStyle w:val="FirstParagraph"/>
      </w:pPr>
      <w:r>
        <w:t xml:space="preserve">Data from the Australian Bureau of Statistics shows that Moonee Valley’s population is slightly older than the population of Greater Melbourne. There are smaller proportions of young people and a higher proportion of older people.</w:t>
      </w:r>
    </w:p>
    <w:p>
      <w:pPr>
        <w:pStyle w:val="BodyText"/>
      </w:pPr>
      <w:r>
        <w:drawing>
          <wp:inline>
            <wp:extent cx="5727700" cy="3682092"/>
            <wp:effectExtent b="0" l="0" r="0" t="0"/>
            <wp:docPr descr="" title="" id="1" name="Picture"/>
            <a:graphic>
              <a:graphicData uri="http://schemas.openxmlformats.org/drawingml/2006/picture">
                <pic:pic>
                  <pic:nvPicPr>
                    <pic:cNvPr descr="health_profile_doc_files/figure-docx/unnamed-chunk-5-1.png" id="0" name="Picture"/>
                    <pic:cNvPicPr>
                      <a:picLocks noChangeArrowheads="1" noChangeAspect="1"/>
                    </pic:cNvPicPr>
                  </pic:nvPicPr>
                  <pic:blipFill>
                    <a:blip r:embed="rId31"/>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 population structure of the City of Moonee Valley is not forecast to change greatly between 2020 and 2040. However, there will be an increase the population of all age groups. There will be a slight increase in the median age and a greater proportion of older residents. This population increase will require an expansion of service provision to meet the needs of all these people.</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32"/>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3"/>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5" w:name="household-structure"/>
      <w:r>
        <w:t xml:space="preserve">Household structure</w:t>
      </w:r>
      <w:bookmarkEnd w:id="35"/>
    </w:p>
    <w:p>
      <w:pPr>
        <w:pStyle w:val="FirstParagraph"/>
      </w:pPr>
      <w:r>
        <w:t xml:space="preserve">Data from the 2016 Census shows that the most common household type is couples with children, who account for approximately 31 per cent of households. Lone person households make up about 25 per cent of households.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7" w:name="Xe919bf7a6b96a50f9d8a23e979c26f72f664fc8"/>
      <w:r>
        <w:t xml:space="preserve">Cultural and linguistic diversity (Indigenous language)</w:t>
      </w:r>
      <w:bookmarkEnd w:id="37"/>
    </w:p>
    <w:p>
      <w:pPr>
        <w:pStyle w:val="Heading3"/>
      </w:pPr>
      <w:bookmarkStart w:id="38" w:name="indigenous-population"/>
      <w:r>
        <w:t xml:space="preserve">Indigenous population</w:t>
      </w:r>
      <w:bookmarkEnd w:id="38"/>
    </w:p>
    <w:p>
      <w:pPr>
        <w:pStyle w:val="FirstParagraph"/>
      </w:pPr>
      <w:r>
        <w:t xml:space="preserve">At the 2016 Census, there were 430 residents who identified as Aboriginal and/or Torres Strait Islander people. This was equal to 0.4 per cent of the Moonee Valley population at the time and is similar to neighbouring municipalities (0.5 per cent in both Moreland and in Maribyrnong). Census data also shows other differences between the Indigenous and non-Indigenous population in Moonee Valley:</w:t>
      </w:r>
    </w:p>
    <w:p>
      <w:pPr>
        <w:pStyle w:val="Compact"/>
        <w:numPr>
          <w:numId w:val="1001"/>
          <w:ilvl w:val="0"/>
        </w:numPr>
      </w:pPr>
      <w:r>
        <w:t xml:space="preserve">a lower median age (28 years) for the indigenous population compared to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2310063"/>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9"/>
                    <a:stretch>
                      <a:fillRect/>
                    </a:stretch>
                  </pic:blipFill>
                  <pic:spPr bwMode="auto">
                    <a:xfrm>
                      <a:off x="0" y="0"/>
                      <a:ext cx="4620126" cy="2310063"/>
                    </a:xfrm>
                    <a:prstGeom prst="rect">
                      <a:avLst/>
                    </a:prstGeom>
                    <a:noFill/>
                    <a:ln w="9525">
                      <a:noFill/>
                      <a:headEnd/>
                      <a:tailEnd/>
                    </a:ln>
                  </pic:spPr>
                </pic:pic>
              </a:graphicData>
            </a:graphic>
          </wp:inline>
        </w:drawing>
      </w:r>
    </w:p>
    <w:p>
      <w:r>
        <w:br w:type="page"/>
      </w:r>
    </w:p>
    <w:p>
      <w:pPr>
        <w:pStyle w:val="Heading3"/>
      </w:pPr>
      <w:bookmarkStart w:id="40" w:name="Xa0549387dfad686ce8f36797744e1dd6e2cabc7"/>
      <w:r>
        <w:t xml:space="preserve">Languages spoken at home (Indigenous language)</w:t>
      </w:r>
      <w:bookmarkEnd w:id="40"/>
    </w:p>
    <w:p>
      <w:pPr>
        <w:pStyle w:val="FirstParagraph"/>
      </w:pPr>
      <w:r>
        <w:t xml:space="preserve">The most common languages spoken at home (other than English) by residents of the City of Moonee Valley are Italian, Greek, Vietnamese, Mandarin, Cantonese and Arabic.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41" w:name="proficiency-in-spoken-english"/>
      <w:r>
        <w:t xml:space="preserve">Proficiency in spoken English</w:t>
      </w:r>
      <w:bookmarkEnd w:id="41"/>
    </w:p>
    <w:p>
      <w:pPr>
        <w:pStyle w:val="FirstParagraph"/>
      </w:pPr>
      <w:r>
        <w:t xml:space="preserve">Those who spoke Hindi at home were more likely to also have good levels of spoken English. Census data shows that for Moonee Valley residents, for the most common languages other than English, those who spoke Hindi, Maltese, and Turkish were the most likely to also speak English</w:t>
      </w:r>
      <w:r>
        <w:t xml:space="preserve"> </w:t>
      </w:r>
      <w:r>
        <w:t xml:space="preserve">‘</w:t>
      </w:r>
      <w:r>
        <w:t xml:space="preserve">Very well</w:t>
      </w:r>
      <w:r>
        <w:t xml:space="preserve">’</w:t>
      </w:r>
      <w:r>
        <w:t xml:space="preserve">.</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42"/>
                    <a:stretch>
                      <a:fillRect/>
                    </a:stretch>
                  </pic:blipFill>
                  <pic:spPr bwMode="auto">
                    <a:xfrm>
                      <a:off x="0" y="0"/>
                      <a:ext cx="5727700" cy="3477532"/>
                    </a:xfrm>
                    <a:prstGeom prst="rect">
                      <a:avLst/>
                    </a:prstGeom>
                    <a:noFill/>
                    <a:ln w="9525">
                      <a:noFill/>
                      <a:headEnd/>
                      <a:tailEnd/>
                    </a:ln>
                  </pic:spPr>
                </pic:pic>
              </a:graphicData>
            </a:graphic>
          </wp:inline>
        </w:drawing>
      </w:r>
    </w:p>
    <w:p>
      <w:pPr>
        <w:pStyle w:val="Heading3"/>
      </w:pPr>
      <w:bookmarkStart w:id="43" w:name="X28896bd638c393eed3f34276b2c32b4a1e916fe"/>
      <w:r>
        <w:t xml:space="preserve">Multiculturalism makes Moonee Valley a better place to live</w:t>
      </w:r>
      <w:bookmarkEnd w:id="43"/>
    </w:p>
    <w:p>
      <w:pPr>
        <w:pStyle w:val="FirstParagraph"/>
      </w:pPr>
      <w:r>
        <w:t xml:space="preserve">Data from the Moonee Valley Community Survey shows that about six in ten residents value the multiculturalism in Moonee Valley. This was higher amongst females than males, and also higher in areas like Flemington and Ascot Vale where the population is more culturally diverse.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15-1.png" id="0" name="Picture"/>
                    <pic:cNvPicPr>
                      <a:picLocks noChangeArrowheads="1" noChangeAspect="1"/>
                    </pic:cNvPicPr>
                  </pic:nvPicPr>
                  <pic:blipFill>
                    <a:blip r:embed="rId44"/>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2"/>
      </w:pPr>
      <w:bookmarkStart w:id="45" w:name="self-reported-health"/>
      <w:r>
        <w:t xml:space="preserve">Self-reported health</w:t>
      </w:r>
      <w:bookmarkEnd w:id="45"/>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is higher than for Victoria and the Western Melbourne Area (approximately 42 per cent).</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 About 42 per cent of men and 54 per cent of women reported</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levels of health.</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7-1.png" id="0" name="Picture"/>
                    <pic:cNvPicPr>
                      <a:picLocks noChangeArrowheads="1" noChangeAspect="1"/>
                    </pic:cNvPicPr>
                  </pic:nvPicPr>
                  <pic:blipFill>
                    <a:blip r:embed="rId47"/>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48" w:name="X985bc430a10039aa47ceccfdfd6123ff4cde324"/>
      <w:r>
        <w:t xml:space="preserve">Environmental factors (Indigenous language)</w:t>
      </w:r>
      <w:bookmarkEnd w:id="48"/>
    </w:p>
    <w:p>
      <w:pPr>
        <w:pStyle w:val="Heading2"/>
      </w:pPr>
      <w:bookmarkStart w:id="49" w:name="socio-economic-disadvantage"/>
      <w:r>
        <w:t xml:space="preserve">Socio-economic disadvantage</w:t>
      </w:r>
      <w:bookmarkEnd w:id="49"/>
    </w:p>
    <w:p>
      <w:pPr>
        <w:pStyle w:val="FirstParagraph"/>
      </w:pPr>
      <w:r>
        <w:t xml:space="preserve">Data from the various Socio-Economic Indexes for Areas (SEIFA) indices show that overall Moonee Valley is fairly well advantaged when we compare it to other local government areas in Victoria. Moonee Valley is in ninth decile (ten equal groups, with decile 1 being the most disadvantaged) for the Index of Education and Occupation and the Index of Relative Socio-Economic Advantage and Disadvantage. Moonee Valley is also in the eighth decile on the Index of Relative Socio-Economic Disadvantage and the seventh decile for the Index of Economic Resources.</w:t>
      </w:r>
    </w:p>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100"/>
        <w:tblLook w:firstRow="1" w:lastRow="0" w:firstColumn="0" w:lastColumn="0" w:noHBand="0" w:noVBand="1"/>
      </w:tblPr>
      <w:tblGrid>
        <w:gridCol w:w="5780"/>
        <w:gridCol w:w="985"/>
        <w:gridCol w:w="924"/>
        <w:gridCol w:w="1022"/>
        <w:gridCol w:w="1389"/>
      </w:tblGrid>
      <w:tr>
        <w:trPr>
          <w:cantSplit/>
          <w:trHeight w:val="414" w:hRule="auto"/>
          <w:tblHeader/>
        </w:trPr>
        <w:tc>
          <w:tcPr>
            <w:gridSpan w:val="5"/>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Socio-Economic Indexes for Areas (SEIFA) indices,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Rank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Decile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Percentile</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Education and Occupation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Economic Resources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Relative Socio-economic Advantage and Disadvantage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Relative Socio-economic Disadvantage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 (comparisons with other municipalities in Victoria)</w:t>
            </w:r>
          </w:p>
        </w:tc>
      </w:tr>
    </w:tbl>
    <w:p>
      <w:pPr>
        <w:pStyle w:val="BodyText"/>
      </w:pPr>
      <w:r>
        <w:t xml:space="preserve"> </w:t>
      </w:r>
    </w:p>
    <w:p>
      <w:pPr>
        <w:pStyle w:val="BodyText"/>
      </w:pPr>
      <w:r>
        <w:t xml:space="preserve">However, the SEIFA Index of Relative Socio-economic Disadvantage (IRSD) also shows that there is great economic diversity in Moonee Valley households. Here the scores are split in to deciles (each comprising ten per cent of scores, with decile 1 being the most disadvantaged). There are pockets of disadvantage in neighbourhoods like Flemington, Ascot Vale, Avondale Heights and Milleara with many area in the most disadvantaged deciles. In contrast, Strathmore and Strathmore Heights are the least disadvantaged neighbourhoods with all of the population in the least disadvantaged deciles. Some areas in Flemington and Ascot vale (the public housing estates) are some of the most disadvantaged in Victoria.</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0"/>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disadvantage is shown in the map below. The greatest concentrations of disadvantage in Moonee Valley are one the public housing estates in Flemington and Ascot Vale.</w:t>
      </w:r>
    </w:p>
    <w:p>
      <w:pPr>
        <w:pStyle w:val="BodyText"/>
      </w:pPr>
      <w:r>
        <w:drawing>
          <wp:inline>
            <wp:extent cx="5727700" cy="4037104"/>
            <wp:effectExtent b="0" l="0" r="0" t="0"/>
            <wp:docPr descr="" title="" id="1" name="Picture"/>
            <a:graphic>
              <a:graphicData uri="http://schemas.openxmlformats.org/drawingml/2006/picture">
                <pic:pic>
                  <pic:nvPicPr>
                    <pic:cNvPr descr="maps/SEIFA%20layout.png" id="0" name="Picture"/>
                    <pic:cNvPicPr>
                      <a:picLocks noChangeArrowheads="1" noChangeAspect="1"/>
                    </pic:cNvPicPr>
                  </pic:nvPicPr>
                  <pic:blipFill>
                    <a:blip r:embed="rId51"/>
                    <a:stretch>
                      <a:fillRect/>
                    </a:stretch>
                  </pic:blipFill>
                  <pic:spPr bwMode="auto">
                    <a:xfrm>
                      <a:off x="0" y="0"/>
                      <a:ext cx="5727700" cy="4037104"/>
                    </a:xfrm>
                    <a:prstGeom prst="rect">
                      <a:avLst/>
                    </a:prstGeom>
                    <a:noFill/>
                    <a:ln w="9525">
                      <a:noFill/>
                      <a:headEnd/>
                      <a:tailEnd/>
                    </a:ln>
                  </pic:spPr>
                </pic:pic>
              </a:graphicData>
            </a:graphic>
          </wp:inline>
        </w:drawing>
      </w:r>
    </w:p>
    <w:p>
      <w:pPr>
        <w:pStyle w:val="Heading2"/>
      </w:pPr>
      <w:bookmarkStart w:id="52" w:name="heat-vulnerability-index"/>
      <w:r>
        <w:t xml:space="preserve">Heat Vulnerability Index</w:t>
      </w:r>
      <w:bookmarkEnd w:id="52"/>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BodyText"/>
      </w:pPr>
      <w:r>
        <w:drawing>
          <wp:inline>
            <wp:extent cx="5727700" cy="4037104"/>
            <wp:effectExtent b="0" l="0" r="0" t="0"/>
            <wp:docPr descr="" title="" id="1" name="Picture"/>
            <a:graphic>
              <a:graphicData uri="http://schemas.openxmlformats.org/drawingml/2006/picture">
                <pic:pic>
                  <pic:nvPicPr>
                    <pic:cNvPr descr="maps/HVI%20layout.png" id="0" name="Picture"/>
                    <pic:cNvPicPr>
                      <a:picLocks noChangeArrowheads="1" noChangeAspect="1"/>
                    </pic:cNvPicPr>
                  </pic:nvPicPr>
                  <pic:blipFill>
                    <a:blip r:embed="rId53"/>
                    <a:stretch>
                      <a:fillRect/>
                    </a:stretch>
                  </pic:blipFill>
                  <pic:spPr bwMode="auto">
                    <a:xfrm>
                      <a:off x="0" y="0"/>
                      <a:ext cx="5727700" cy="4037104"/>
                    </a:xfrm>
                    <a:prstGeom prst="rect">
                      <a:avLst/>
                    </a:prstGeom>
                    <a:noFill/>
                    <a:ln w="9525">
                      <a:noFill/>
                      <a:headEnd/>
                      <a:tailEnd/>
                    </a:ln>
                  </pic:spPr>
                </pic:pic>
              </a:graphicData>
            </a:graphic>
          </wp:inline>
        </w:drawing>
      </w:r>
    </w:p>
    <w:p>
      <w:pPr>
        <w:pStyle w:val="Heading2"/>
      </w:pPr>
      <w:bookmarkStart w:id="54" w:name="open-space"/>
      <w:r>
        <w:t xml:space="preserve">Open space</w:t>
      </w:r>
      <w:bookmarkEnd w:id="54"/>
    </w:p>
    <w:p>
      <w:pPr>
        <w:pStyle w:val="FirstParagraph"/>
      </w:pPr>
      <w:r>
        <w:t xml:space="preserve">refer to new strategy when it is available - speak to Julie Fr</w:t>
      </w:r>
    </w:p>
    <w:p>
      <w:pPr>
        <w:pStyle w:val="Heading2"/>
      </w:pPr>
      <w:bookmarkStart w:id="55" w:name="tree-canopy-cover"/>
      <w:r>
        <w:t xml:space="preserve">Tree canopy cover</w:t>
      </w:r>
      <w:bookmarkEnd w:id="55"/>
    </w:p>
    <w:p>
      <w:pPr>
        <w:pStyle w:val="FirstParagraph"/>
      </w:pPr>
      <w:r>
        <w:t xml:space="preserve">perhaps Evie has a map</w:t>
      </w:r>
    </w:p>
    <w:p>
      <w:pPr>
        <w:pStyle w:val="Heading2"/>
      </w:pPr>
      <w:bookmarkStart w:id="56" w:name="walkability-indigenous-language"/>
      <w:r>
        <w:t xml:space="preserve">Walkability (Indigenous language)</w:t>
      </w:r>
      <w:bookmarkEnd w:id="56"/>
    </w:p>
    <w:p>
      <w:pPr>
        <w:pStyle w:val="Compact"/>
        <w:numPr>
          <w:numId w:val="1002"/>
          <w:ilvl w:val="0"/>
        </w:numPr>
      </w:pPr>
      <w:r>
        <w:t xml:space="preserve">See what Evie has done. Otherwise, just use the ones from MV2040 (page 65 - but also page 86 perhaps?)</w:t>
      </w:r>
    </w:p>
    <w:p>
      <w:r>
        <w:br w:type="page"/>
      </w:r>
    </w:p>
    <w:p>
      <w:pPr>
        <w:pStyle w:val="Heading1"/>
      </w:pPr>
      <w:bookmarkStart w:id="57" w:name="gender-inequality-indigenous-language"/>
      <w:r>
        <w:t xml:space="preserve">Gender inequality (Indigenous language)</w:t>
      </w:r>
      <w:bookmarkEnd w:id="57"/>
    </w:p>
    <w:p>
      <w:pPr>
        <w:pStyle w:val="FirstParagraph"/>
      </w:pPr>
      <w:r>
        <w:t xml:space="preserve">Data from the 2016 Census shows that females do more unpaid work (housework), while having lower incomes and being less likely to participate in the labour force. The labour force participation rate is the proportion of the population aged 15 years and over that are in the labour force (i.e. either in work, or looking for work).</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58"/>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59" w:name="unemployment-indigenous-language"/>
      <w:r>
        <w:t xml:space="preserve">Unemployment (Indigenous language)</w:t>
      </w:r>
      <w:bookmarkEnd w:id="59"/>
    </w:p>
    <w:p>
      <w:pPr>
        <w:pStyle w:val="FirstParagraph"/>
      </w:pPr>
      <w:r>
        <w:t xml:space="preserve">The unemployment rate in the City of Moonee Valley has generally been lower than the rate for Greater Melbourne. The dataset runs to March 2020 and only reflects the impacts from the pandemic social restrictions.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Flemington and Ascot Vale and lowest in Strathmore.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61"/>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While the unemployment rate across the municipality has generally remained lower that of Greater Melbourne, women, young people and those aged 70 years and over have experienced the greatest job losses since the pandemic began. Job losses across these groups could be explained by the fact that women and young people make up a greater proportion of the Accommodation and Food Services as well as the Retail Trade sectors which were hardest hit when by the pandemic.</w:t>
      </w:r>
    </w:p>
    <w:p>
      <w:pPr>
        <w:pStyle w:val="BodyText"/>
      </w:pPr>
      <w:r>
        <w:t xml:space="preserve">Shelley to add more narrative around women and young people – mental health, caring duties, gender inequality. Predicted stunt to entering workforce !!!</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2"/>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Shelley - When home becomes the workplace - Women losing jobs and unpaid domestic labour</w:t>
      </w:r>
    </w:p>
    <w:p>
      <w:r>
        <w:br w:type="page"/>
      </w:r>
    </w:p>
    <w:p>
      <w:pPr>
        <w:pStyle w:val="Heading1"/>
      </w:pPr>
      <w:bookmarkStart w:id="63" w:name="housing-indigenous-language"/>
      <w:r>
        <w:t xml:space="preserve">Housing (Indigenous language)</w:t>
      </w:r>
      <w:bookmarkEnd w:id="63"/>
    </w:p>
    <w:p>
      <w:pPr>
        <w:pStyle w:val="Heading2"/>
      </w:pPr>
      <w:bookmarkStart w:id="64" w:name="affordable-housing"/>
      <w:r>
        <w:t xml:space="preserve">Affordable housing</w:t>
      </w:r>
      <w:bookmarkEnd w:id="64"/>
    </w:p>
    <w:p>
      <w:pPr>
        <w:pStyle w:val="FirstParagraph"/>
      </w:pPr>
      <w:r>
        <w:t xml:space="preserve">According to the Rental Report from the Department of Health and Human Services, there were only 21 affordable lettings in Moonee Valley in June 2020. These are private rental properties (newly leased) affordable to households on statutory (Centrelink)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6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66" w:name="homelessness"/>
      <w:r>
        <w:t xml:space="preserve">Homelessness</w:t>
      </w:r>
      <w:bookmarkEnd w:id="66"/>
    </w:p>
    <w:p>
      <w:pPr>
        <w:pStyle w:val="FirstParagraph"/>
      </w:pPr>
      <w:r>
        <w:t xml:space="preserve">Data from the Australian Bureau of Statistics shows show little change in the number of homeless persons in Moonee Valley between 2011 and 2016. Across the country, the number of homeless persons has risen, but in Moonee Valley, there was a slight decline, with 403 homeless persons in 2016, compared to 409 in 2011. The figure for 2016 (403 persons) is 1.6 per cent of the all homeless persons in Victoria (24,828).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740"/>
        <w:tblLook w:firstRow="1" w:lastRow="0" w:firstColumn="0" w:lastColumn="0" w:noHBand="0" w:noVBand="1"/>
      </w:tblPr>
      <w:tblGrid>
        <w:gridCol w:w="2233"/>
        <w:gridCol w:w="1206"/>
        <w:gridCol w:w="1206"/>
        <w:gridCol w:w="1511"/>
        <w:gridCol w:w="1585"/>
      </w:tblGrid>
      <w:tr>
        <w:trPr>
          <w:cantSplit/>
          <w:trHeight w:val="457" w:hRule="auto"/>
          <w:tblHeader/>
        </w:trPr>
        <w:tc>
          <w:tcPr>
            <w:gridSpan w:val="5"/>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Homelessness estimates, 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7"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Region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Change (#)</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Change (%)</w:t>
            </w:r>
          </w:p>
        </w:tc>
      </w:tr>
      <w:tr>
        <w:trPr>
          <w:cantSplit/>
          <w:trHeight w:val="440" w:hRule="auto"/>
        </w:trPr>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Australia</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102,439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116,427</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Victoria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24,828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Moonee Valley (C)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pPr>
        <w:pStyle w:val="BodyText"/>
      </w:pPr>
      <w:r>
        <w:t xml:space="preserve">The largest concentrations of homeless residents are in Flemington, Ascot Vale and the Essendon - Aberfeldie area.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155"/>
        <w:tblLook w:firstRow="1" w:lastRow="0" w:firstColumn="0" w:lastColumn="0" w:noHBand="0" w:noVBand="1"/>
      </w:tblPr>
      <w:tblGrid>
        <w:gridCol w:w="2844"/>
        <w:gridCol w:w="900"/>
        <w:gridCol w:w="900"/>
        <w:gridCol w:w="1511"/>
      </w:tblGrid>
      <w:tr>
        <w:trPr>
          <w:cantSplit/>
          <w:trHeight w:val="457"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Homelessness estimates by SA2, 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7"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SA2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Change (#)</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Flemington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Essendon - Aberfeldie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Moonee Ponds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Keilor East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Niddrie - Essendon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Essendon Airport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1"/>
      </w:pPr>
      <w:bookmarkStart w:id="67" w:name="community-safety-indigenous-language"/>
      <w:r>
        <w:t xml:space="preserve">Community Safety (Indigenous language)</w:t>
      </w:r>
      <w:bookmarkEnd w:id="67"/>
    </w:p>
    <w:p>
      <w:pPr>
        <w:pStyle w:val="FirstParagraph"/>
      </w:pPr>
      <w:r>
        <w:t xml:space="preserve">Data from the Council’s annual community survey shows that about 45 per cent of all residents feel safe walking alone in their local area at night. About eight in ten residents feel safe at public transport stops and stations, while about nine in ten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6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In 2020, only 38 per cent of females reported feeling either</w:t>
      </w:r>
      <w:r>
        <w:t xml:space="preserve"> </w:t>
      </w:r>
      <w:r>
        <w:t xml:space="preserve">‘</w:t>
      </w:r>
      <w:r>
        <w:t xml:space="preserve">very safe</w:t>
      </w:r>
      <w:r>
        <w:t xml:space="preserve">’</w:t>
      </w:r>
      <w:r>
        <w:t xml:space="preserve"> </w:t>
      </w:r>
      <w:r>
        <w:t xml:space="preserve">or</w:t>
      </w:r>
      <w:r>
        <w:t xml:space="preserve"> </w:t>
      </w:r>
      <w:r>
        <w:t xml:space="preserve">‘</w:t>
      </w:r>
      <w:r>
        <w:t xml:space="preserve">safe</w:t>
      </w:r>
      <w:r>
        <w:t xml:space="preserve">’</w:t>
      </w:r>
      <w:r>
        <w:t xml:space="preserve"> </w:t>
      </w:r>
      <w:r>
        <w:t xml:space="preserve">compared to 54 per cent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69"/>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70" w:name="health-workforce"/>
      <w:r>
        <w:t xml:space="preserve">Health workforce</w:t>
      </w:r>
      <w:bookmarkEnd w:id="70"/>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71" w:name="health-status-indigenous-language"/>
      <w:r>
        <w:t xml:space="preserve">Health Status (Indigenous language)</w:t>
      </w:r>
      <w:bookmarkEnd w:id="71"/>
    </w:p>
    <w:p>
      <w:pPr>
        <w:pStyle w:val="Heading2"/>
      </w:pPr>
      <w:bookmarkStart w:id="72" w:name="oral-health"/>
      <w:r>
        <w:t xml:space="preserve">Oral health</w:t>
      </w:r>
      <w:bookmarkEnd w:id="72"/>
    </w:p>
    <w:p>
      <w:pPr>
        <w:pStyle w:val="FirstParagraph"/>
      </w:pPr>
      <w:r>
        <w:t xml:space="preserve">general for Victoria - Shelley –</w:t>
      </w:r>
    </w:p>
    <w:p>
      <w:pPr>
        <w:pStyle w:val="BodyText"/>
      </w:pPr>
      <w:r>
        <w:t xml:space="preserve">• Poor oral health is the single highest cause of preventable admissions to hospital for children and adolescents under 25 years and the second highest cause for all ages in Victoria.</w:t>
      </w:r>
      <w:r>
        <w:t xml:space="preserve"> </w:t>
      </w:r>
      <w:r>
        <w:t xml:space="preserve">• Most oral diseases are amenable to prevention, however improving oral health requires access to healthy diets, fluoride in water and toothpaste, good oral hygiene and regular preventive care.</w:t>
      </w:r>
      <w:r>
        <w:t xml:space="preserve"> </w:t>
      </w:r>
      <w:r>
        <w:t xml:space="preserve">• The major oral disease that cause poor oral health are tooth decay, gum disease and oral cancers. Oral diseases are among the most common and costly health problems experienced by Australians.</w:t>
      </w:r>
      <w:r>
        <w:t xml:space="preserve"> </w:t>
      </w:r>
      <w:r>
        <w:t xml:space="preserve">Tooth decay is the most common health problem in Victoria with half of all children and adolescents3 and over 90 per cent adults affected.</w:t>
      </w:r>
    </w:p>
    <w:p>
      <w:pPr>
        <w:pStyle w:val="BodyText"/>
      </w:pPr>
      <w:r>
        <w:t xml:space="preserve">–</w:t>
      </w:r>
    </w:p>
    <w:p>
      <w:pPr>
        <w:pStyle w:val="BodyText"/>
      </w:pPr>
      <w:r>
        <w:t xml:space="preserve">Data from the Victorian Population Health Survey shows that Moonee Valley residents have better self-reported dental health and lower incidence of gum disease when compared to the Western Melbourne Area and Victoria. Moonee Valley residents are also less likely to delay visiting a dental professional because of cost when compared to Victoria.</w:t>
      </w:r>
    </w:p>
    <w:p>
      <w:pPr>
        <w:pStyle w:val="BodyText"/>
      </w:pPr>
      <w:r>
        <w:t xml:space="preserve">Shelley to include narrative around the preventable presentations for oral health</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in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4"/>
                    <a:stretch>
                      <a:fillRect/>
                    </a:stretch>
                  </pic:blipFill>
                  <pic:spPr bwMode="auto">
                    <a:xfrm>
                      <a:off x="0" y="0"/>
                      <a:ext cx="5544151" cy="2772075"/>
                    </a:xfrm>
                    <a:prstGeom prst="rect">
                      <a:avLst/>
                    </a:prstGeom>
                    <a:noFill/>
                    <a:ln w="9525">
                      <a:noFill/>
                      <a:headEnd/>
                      <a:tailEnd/>
                    </a:ln>
                  </pic:spPr>
                </pic:pic>
              </a:graphicData>
            </a:graphic>
          </wp:inline>
        </w:drawing>
      </w:r>
    </w:p>
    <w:p>
      <w:pPr>
        <w:pStyle w:val="BodyText"/>
      </w:pPr>
      <w:r>
        <w:t xml:space="preserve">However, potentially preventable hospital admissions due to dental health conditions are consistently higher among children in Moonee Valley when compared to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76" w:name="healthy-eating-and-food-security"/>
      <w:r>
        <w:t xml:space="preserve">Healthy eating and food security</w:t>
      </w:r>
      <w:bookmarkEnd w:id="76"/>
    </w:p>
    <w:p>
      <w:pPr>
        <w:pStyle w:val="Compact"/>
        <w:numPr>
          <w:numId w:val="1003"/>
          <w:ilvl w:val="0"/>
        </w:numPr>
      </w:pPr>
      <w:r>
        <w:t xml:space="preserve">map of fast food/supermarkets?</w:t>
      </w:r>
    </w:p>
    <w:p>
      <w:pPr>
        <w:pStyle w:val="FirstParagraph"/>
      </w:pPr>
      <w:r>
        <w:t xml:space="preserve">Data from the Victorian Population Health Survey shows that only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77"/>
                    <a:stretch>
                      <a:fillRect/>
                    </a:stretch>
                  </pic:blipFill>
                  <pic:spPr bwMode="auto">
                    <a:xfrm>
                      <a:off x="0" y="0"/>
                      <a:ext cx="5727700" cy="2045607"/>
                    </a:xfrm>
                    <a:prstGeom prst="rect">
                      <a:avLst/>
                    </a:prstGeom>
                    <a:noFill/>
                    <a:ln w="9525">
                      <a:noFill/>
                      <a:headEnd/>
                      <a:tailEnd/>
                    </a:ln>
                  </pic:spPr>
                </pic:pic>
              </a:graphicData>
            </a:graphic>
          </wp:inline>
        </w:drawing>
      </w:r>
    </w:p>
    <w:p>
      <w:pPr>
        <w:pStyle w:val="Compact"/>
        <w:numPr>
          <w:numId w:val="1004"/>
          <w:ilvl w:val="0"/>
        </w:numPr>
      </w:pPr>
      <w:r>
        <w:t xml:space="preserve">food relief? Gender breakdown for those accessing food relief</w:t>
      </w:r>
    </w:p>
    <w:p>
      <w:pPr>
        <w:pStyle w:val="FirstParagraph"/>
      </w:pPr>
      <w:r>
        <w:t xml:space="preserve">Shelley to include narrative around local food relief and state-wide trends during pandemic !!!</w:t>
      </w:r>
    </w:p>
    <w:p>
      <w:pPr>
        <w:pStyle w:val="Heading2"/>
      </w:pPr>
      <w:bookmarkStart w:id="78" w:name="chronic-disease-indigenous-language"/>
      <w:r>
        <w:t xml:space="preserve">Chronic disease (Indigenous language)</w:t>
      </w:r>
      <w:bookmarkEnd w:id="78"/>
    </w:p>
    <w:p>
      <w:pPr>
        <w:pStyle w:val="Heading3"/>
      </w:pPr>
      <w:bookmarkStart w:id="79" w:name="tests-for-chronic-disease"/>
      <w:r>
        <w:t xml:space="preserve">Tests for chronic disease</w:t>
      </w:r>
      <w:bookmarkEnd w:id="79"/>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though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0"/>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1"/>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82" w:name="Xa0e2cdfe5f21457d17e33d4edfeac6e8f9a1c5e"/>
      <w:r>
        <w:t xml:space="preserve">Modifiable risk factors (Indigenous language)</w:t>
      </w:r>
      <w:bookmarkEnd w:id="82"/>
    </w:p>
    <w:p>
      <w:pPr>
        <w:pStyle w:val="Heading3"/>
      </w:pPr>
      <w:bookmarkStart w:id="83" w:name="smoking"/>
      <w:r>
        <w:t xml:space="preserve">Smoking</w:t>
      </w:r>
      <w:bookmarkEnd w:id="83"/>
    </w:p>
    <w:p>
      <w:pPr>
        <w:pStyle w:val="FirstParagraph"/>
      </w:pPr>
      <w:r>
        <w:t xml:space="preserve">Data from the Victorian Population Health Survey 2017 shows that smoking levels in Moonee Valley are similar to those in Western Melbourne and Victoria. About 15 per cent of the Moonee Valley residents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(17 per cent), than for women (14 per cent),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5"/>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86" w:name="alcohol"/>
      <w:r>
        <w:t xml:space="preserve">Alcohol</w:t>
      </w:r>
      <w:bookmarkEnd w:id="86"/>
    </w:p>
    <w:p>
      <w:pPr>
        <w:pStyle w:val="FirstParagraph"/>
      </w:pPr>
      <w:r>
        <w:t xml:space="preserve">Data from the Victorian Population Health Survey 2017 shows that Moonee Valley residents are more likely to have increased alcohol related harm when compared to Western Melbourne and Victoria. This is true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8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Both on-licence (such as restaurants and pubs) and off-licence (such as bottle shops) alcohol outlets are generally located in activity centres in Moonee Valley. These are most concentrated in the east of the municipality. There are few on-license outlets in the western part of the municipality.</w:t>
      </w:r>
    </w:p>
    <w:p>
      <w:pPr>
        <w:pStyle w:val="BodyText"/>
      </w:pPr>
      <w:r>
        <w:drawing>
          <wp:inline>
            <wp:extent cx="5727700" cy="4037104"/>
            <wp:effectExtent b="0" l="0" r="0" t="0"/>
            <wp:docPr descr=""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88"/>
                    <a:stretch>
                      <a:fillRect/>
                    </a:stretch>
                  </pic:blipFill>
                  <pic:spPr bwMode="auto">
                    <a:xfrm>
                      <a:off x="0" y="0"/>
                      <a:ext cx="5727700" cy="4037104"/>
                    </a:xfrm>
                    <a:prstGeom prst="rect">
                      <a:avLst/>
                    </a:prstGeom>
                    <a:noFill/>
                    <a:ln w="9525">
                      <a:noFill/>
                      <a:headEnd/>
                      <a:tailEnd/>
                    </a:ln>
                  </pic:spPr>
                </pic:pic>
              </a:graphicData>
            </a:graphic>
          </wp:inline>
        </w:drawing>
      </w:r>
    </w:p>
    <w:p>
      <w:pPr>
        <w:pStyle w:val="BodyText"/>
      </w:pPr>
      <w:r>
        <w:t xml:space="preserve">Data from Turning Point shows that there were over 600 alcohol related hospital admissions for Moonee Valley residents in 2018-19. The majority of these were males, who were admitted at twice the rate of females.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8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though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91" w:name="drugs"/>
      <w:r>
        <w:t xml:space="preserve">Drugs</w:t>
      </w:r>
      <w:bookmarkEnd w:id="91"/>
    </w:p>
    <w:p>
      <w:pPr>
        <w:pStyle w:val="FirstParagraph"/>
      </w:pPr>
      <w:r>
        <w:t xml:space="preserve">Data from Turning Point shows that there were over 300 illicit drugs related hospital admissions for Moonee Valley residents in 2018-19. The majority of these were males. Similar to trends in alcohol, males were admitted to hospital at 1.6 times the rate of females.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though it is not the highest. Alarmingly, it can also be seen that illicit drug related hospitalisations for both males and females have been increasing steadily since 2012, more than doubling for males, and almost doubling for females.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9-1.png" id="0" name="Picture"/>
                    <pic:cNvPicPr>
                      <a:picLocks noChangeArrowheads="1" noChangeAspect="1"/>
                    </pic:cNvPicPr>
                  </pic:nvPicPr>
                  <pic:blipFill>
                    <a:blip r:embed="rId93"/>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94" w:name="gambling"/>
      <w:r>
        <w:t xml:space="preserve">Gambling</w:t>
      </w:r>
      <w:bookmarkEnd w:id="94"/>
    </w:p>
    <w:p>
      <w:pPr>
        <w:pStyle w:val="FirstParagraph"/>
      </w:pPr>
      <w:r>
        <w:t xml:space="preserve">Data from the Victorian Responsible Gambling Foundation shows that over</w:t>
      </w:r>
      <w:r>
        <w:t xml:space="preserve"> </w:t>
      </w:r>
      <w:r>
        <w:rPr>
          <w:rStyle w:val="VerbatimChar"/>
        </w:rPr>
        <w:t xml:space="preserve">$77.6 million</w:t>
      </w:r>
      <w:r>
        <w:t xml:space="preserve"> </w:t>
      </w:r>
      <w:r>
        <w:t xml:space="preserve">was spent on pokies in Moonee Valley in 2018-19, equating to</w:t>
      </w:r>
      <w:r>
        <w:t xml:space="preserve"> </w:t>
      </w:r>
      <w:r>
        <w:rPr>
          <w:rStyle w:val="VerbatimChar"/>
        </w:rPr>
        <w:t xml:space="preserve">$212,742</w:t>
      </w:r>
      <w:r>
        <w:t xml:space="preserve"> </w:t>
      </w:r>
      <w:r>
        <w:t xml:space="preserve">per day across 11 venues with pokies.</w:t>
      </w:r>
    </w:p>
    <w:p>
      <w:pPr>
        <w:pStyle w:val="BodyText"/>
      </w:pPr>
      <w:r>
        <w:drawing>
          <wp:inline>
            <wp:extent cx="5727700" cy="4905563"/>
            <wp:effectExtent b="0" l="0" r="0" t="0"/>
            <wp:docPr descr=""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95"/>
                    <a:stretch>
                      <a:fillRect/>
                    </a:stretch>
                  </pic:blipFill>
                  <pic:spPr bwMode="auto">
                    <a:xfrm>
                      <a:off x="0" y="0"/>
                      <a:ext cx="5727700" cy="4905563"/>
                    </a:xfrm>
                    <a:prstGeom prst="rect">
                      <a:avLst/>
                    </a:prstGeom>
                    <a:noFill/>
                    <a:ln w="9525">
                      <a:noFill/>
                      <a:headEnd/>
                      <a:tailEnd/>
                    </a:ln>
                  </pic:spPr>
                </pic:pic>
              </a:graphicData>
            </a:graphic>
          </wp:inline>
        </w:drawing>
      </w:r>
    </w:p>
    <w:p>
      <w:pPr>
        <w:pStyle w:val="BodyText"/>
      </w:pPr>
      <w:r>
        <w:t xml:space="preserve">In a usual year, almost</w:t>
      </w:r>
      <w:r>
        <w:t xml:space="preserve"> </w:t>
      </w:r>
      <w:r>
        <w:rPr>
          <w:rStyle w:val="VerbatimChar"/>
        </w:rPr>
        <w:t xml:space="preserve">$80 million</w:t>
      </w:r>
      <w:r>
        <w:t xml:space="preserve"> </w:t>
      </w:r>
      <w:r>
        <w:t xml:space="preserve">is lost through pokies in the City of Moonee Valley. However, this figure was only</w:t>
      </w:r>
      <w:r>
        <w:t xml:space="preserve"> </w:t>
      </w:r>
      <w:r>
        <w:rPr>
          <w:rStyle w:val="VerbatimChar"/>
        </w:rPr>
        <w:t xml:space="preserve">$58 million</w:t>
      </w:r>
      <w:r>
        <w:t xml:space="preserve"> </w:t>
      </w:r>
      <w:r>
        <w:t xml:space="preserve">in the 2019-20 financial year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9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Airport West)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1-1.png" id="0" name="Picture"/>
                    <pic:cNvPicPr>
                      <a:picLocks noChangeArrowheads="1" noChangeAspect="1"/>
                    </pic:cNvPicPr>
                  </pic:nvPicPr>
                  <pic:blipFill>
                    <a:blip r:embed="rId9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(EGMs) in Moonee Valley, we can see that they are concentrated in the east of the municipality (mostly in Moonee Ponds and Essendon).</w:t>
      </w:r>
    </w:p>
    <w:p>
      <w:pPr>
        <w:pStyle w:val="BodyText"/>
      </w:pPr>
      <w:r>
        <w:drawing>
          <wp:inline>
            <wp:extent cx="5727700" cy="4037104"/>
            <wp:effectExtent b="0" l="0" r="0" t="0"/>
            <wp:docPr descr="" title="" id="1" name="Picture"/>
            <a:graphic>
              <a:graphicData uri="http://schemas.openxmlformats.org/drawingml/2006/picture">
                <pic:pic>
                  <pic:nvPicPr>
                    <pic:cNvPr descr="maps/EGM%20map%20layout.png" id="0" name="Picture"/>
                    <pic:cNvPicPr>
                      <a:picLocks noChangeArrowheads="1" noChangeAspect="1"/>
                    </pic:cNvPicPr>
                  </pic:nvPicPr>
                  <pic:blipFill>
                    <a:blip r:embed="rId98"/>
                    <a:stretch>
                      <a:fillRect/>
                    </a:stretch>
                  </pic:blipFill>
                  <pic:spPr bwMode="auto">
                    <a:xfrm>
                      <a:off x="0" y="0"/>
                      <a:ext cx="5727700" cy="4037104"/>
                    </a:xfrm>
                    <a:prstGeom prst="rect">
                      <a:avLst/>
                    </a:prstGeom>
                    <a:noFill/>
                    <a:ln w="9525">
                      <a:noFill/>
                      <a:headEnd/>
                      <a:tailEnd/>
                    </a:ln>
                  </pic:spPr>
                </pic:pic>
              </a:graphicData>
            </a:graphic>
          </wp:inline>
        </w:drawing>
      </w:r>
    </w:p>
    <w:p>
      <w:pPr>
        <w:pStyle w:val="Heading3"/>
      </w:pPr>
      <w:bookmarkStart w:id="99" w:name="obesity"/>
      <w:r>
        <w:t xml:space="preserve">Obesity</w:t>
      </w:r>
      <w:bookmarkEnd w:id="99"/>
    </w:p>
    <w:p>
      <w:pPr>
        <w:pStyle w:val="FirstParagraph"/>
      </w:pPr>
      <w:r>
        <w:t xml:space="preserve">Data from the Victorian Population Health Survey 2017 shows that the almost half (48 per cent) of Moonee Valley residents are overweight. This is similar to the proportion in the Western Melbourne Area and slightly lower than the rate for Victoria (51 per cent).</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2-1.png" id="0" name="Picture"/>
                    <pic:cNvPicPr>
                      <a:picLocks noChangeArrowheads="1" noChangeAspect="1"/>
                    </pic:cNvPicPr>
                  </pic:nvPicPr>
                  <pic:blipFill>
                    <a:blip r:embed="rId10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with 6.4 per cent of residents consuming these drinks daily, compared to 10.1 per cent for Victoria and 10.8 per cent for the Western Melbourne Area. Moonee Valley residents also consume takeaway snacks or meals less often when compared against both Western Melbourne and Victoria.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1"/>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102" w:name="physical-activity"/>
      <w:r>
        <w:t xml:space="preserve">Physical activity</w:t>
      </w:r>
      <w:bookmarkEnd w:id="102"/>
    </w:p>
    <w:p>
      <w:pPr>
        <w:pStyle w:val="FirstParagraph"/>
      </w:pPr>
      <w:r>
        <w:t xml:space="preserve">Data from the Victorian Population Health Survey 2017 shows that approximately 58 per cent of Moonee Valley residents complied with the physical activity guidelines, compared to 48.5 per cent in the Western Melbourne Area. Approximately 30 per cent of residents spent seven or more hours sitting on an average weekday, higher than both the Western Melbourne Area (28 per cent) and Victoria (27 per cent).</w:t>
      </w:r>
    </w:p>
    <w:p>
      <w:pPr>
        <w:pStyle w:val="BodyText"/>
      </w:pPr>
      <w:r>
        <w:t xml:space="preserve">Shelley to add covid narrative – see recent webinar notes and research findings !!!</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4-1.png" id="0" name="Picture"/>
                    <pic:cNvPicPr>
                      <a:picLocks noChangeArrowheads="1" noChangeAspect="1"/>
                    </pic:cNvPicPr>
                  </pic:nvPicPr>
                  <pic:blipFill>
                    <a:blip r:embed="rId10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104" w:name="mental-health-indigenous-language"/>
      <w:r>
        <w:t xml:space="preserve">Mental health (Indigenous language)</w:t>
      </w:r>
      <w:bookmarkEnd w:id="104"/>
    </w:p>
    <w:p>
      <w:pPr>
        <w:pStyle w:val="FirstParagraph"/>
      </w:pPr>
      <w:r>
        <w:t xml:space="preserve">Data from the Victorian Population Health Survey 2017 shows that approximately eight in ten residents rated their feeling of life being worthwhile (79 per cent) and life satisfaction (78 per cent) as</w:t>
      </w:r>
      <w:r>
        <w:t xml:space="preserve"> </w:t>
      </w:r>
      <w:r>
        <w:t xml:space="preserve">‘</w:t>
      </w:r>
      <w:r>
        <w:t xml:space="preserve">very high</w:t>
      </w:r>
      <w:r>
        <w:t xml:space="preserve">’</w:t>
      </w:r>
      <w:r>
        <w:t xml:space="preserve"> </w:t>
      </w:r>
      <w:r>
        <w:t xml:space="preserve">or</w:t>
      </w:r>
      <w:r>
        <w:t xml:space="preserve"> </w:t>
      </w:r>
      <w:r>
        <w:t xml:space="preserve">‘</w:t>
      </w:r>
      <w:r>
        <w:t xml:space="preserve">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5-1.png" id="0" name="Picture"/>
                    <pic:cNvPicPr>
                      <a:picLocks noChangeArrowheads="1" noChangeAspect="1"/>
                    </pic:cNvPicPr>
                  </pic:nvPicPr>
                  <pic:blipFill>
                    <a:blip r:embed="rId105"/>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Victorian Population Health Survey 2017 also shows that approximately 30 per cent of Moonee Valley residents had ever been diagnosed with anxiety of depression. This figure is higher than both Western Melbourne (25 per cent) and Victoria (27 per cent).</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6-1.png" id="0" name="Picture"/>
                    <pic:cNvPicPr>
                      <a:picLocks noChangeArrowheads="1" noChangeAspect="1"/>
                    </pic:cNvPicPr>
                  </pic:nvPicPr>
                  <pic:blipFill>
                    <a:blip r:embed="rId10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Looking at the data by sex, the 2017 survey also shows that males in Moonee Valley were more likely to be diagnosed with anxiety or depression, but were less likely to seek professional help for mental health problems than females.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7-1.png" id="0" name="Picture"/>
                    <pic:cNvPicPr>
                      <a:picLocks noChangeArrowheads="1" noChangeAspect="1"/>
                    </pic:cNvPicPr>
                  </pic:nvPicPr>
                  <pic:blipFill>
                    <a:blip r:embed="rId107"/>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When home becomes the workplace – practitioner wellbeing / mental helahthealth</w:t>
      </w:r>
    </w:p>
    <w:p>
      <w:pPr>
        <w:pStyle w:val="BodyText"/>
      </w:pPr>
      <w:r>
        <w:t xml:space="preserve">Inw pcp env scan</w:t>
      </w:r>
    </w:p>
    <w:p>
      <w:pPr>
        <w:pStyle w:val="BodyText"/>
      </w:pPr>
      <w:r>
        <w:t xml:space="preserve">Vichealth covid impacts survey</w:t>
      </w:r>
    </w:p>
    <w:p>
      <w:r>
        <w:br w:type="page"/>
      </w:r>
    </w:p>
    <w:p>
      <w:pPr>
        <w:pStyle w:val="Heading1"/>
      </w:pPr>
      <w:bookmarkStart w:id="108" w:name="X3f4840cd8dccdf9141f284072dae0f35edab81a"/>
      <w:r>
        <w:t xml:space="preserve">Sexual and reporductive health (Indigenous language)</w:t>
      </w:r>
      <w:bookmarkEnd w:id="108"/>
    </w:p>
    <w:p>
      <w:pPr>
        <w:pStyle w:val="FirstParagraph"/>
      </w:pPr>
      <w:r>
        <w:t xml:space="preserve">Narrative from WHW 2020 report</w:t>
      </w:r>
    </w:p>
    <w:p>
      <w:pPr>
        <w:pStyle w:val="BodyText"/>
      </w:pPr>
      <w:r>
        <w:t xml:space="preserve">WISE doc</w:t>
      </w:r>
    </w:p>
    <w:p>
      <w:pPr>
        <w:pStyle w:val="BodyText"/>
      </w:pPr>
      <w:r>
        <w:t xml:space="preserve">Rates of chlamydia, gonorrhoea, and hepatitis B are lower in Moonee Valley than for the Metro West region, and are lower for females than males.</w:t>
      </w:r>
    </w:p>
    <w:p>
      <w:pPr>
        <w:pStyle w:val="BodyText"/>
      </w:pPr>
      <w:r>
        <w:t xml:space="preserve">Narrative – the need for more education and awareness raising, particular with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9-1.png" id="0" name="Picture"/>
                    <pic:cNvPicPr>
                      <a:picLocks noChangeArrowheads="1" noChangeAspect="1"/>
                    </pic:cNvPicPr>
                  </pic:nvPicPr>
                  <pic:blipFill>
                    <a:blip r:embed="rId109"/>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110" w:name="family-violence-indigenous-language"/>
      <w:r>
        <w:t xml:space="preserve">Family violence (Indigenous language)</w:t>
      </w:r>
      <w:bookmarkEnd w:id="110"/>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1-1.png" id="0" name="Picture"/>
                    <pic:cNvPicPr>
                      <a:picLocks noChangeArrowheads="1" noChangeAspect="1"/>
                    </pic:cNvPicPr>
                  </pic:nvPicPr>
                  <pic:blipFill>
                    <a:blip r:embed="rId111"/>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Include pandemic narrative</w:t>
      </w:r>
    </w:p>
    <w:p>
      <w:pPr>
        <w:pStyle w:val="BodyText"/>
      </w:pPr>
      <w:r>
        <w:t xml:space="preserve">Not to Violence</w:t>
      </w:r>
    </w:p>
    <w:p>
      <w:pPr>
        <w:pStyle w:val="BodyText"/>
      </w:pPr>
      <w:r>
        <w:t xml:space="preserve">Vic Pol</w:t>
      </w:r>
    </w:p>
    <w:p>
      <w:pPr>
        <w:pStyle w:val="BodyText"/>
      </w:pPr>
      <w:r>
        <w:t xml:space="preserve">Women’s health agency data – women’s health west</w:t>
      </w:r>
    </w:p>
    <w:p>
      <w:r>
        <w:br w:type="page"/>
      </w:r>
    </w:p>
    <w:p>
      <w:pPr>
        <w:pStyle w:val="Heading1"/>
      </w:pPr>
      <w:bookmarkStart w:id="112" w:name="births-indigenous-language"/>
      <w:r>
        <w:t xml:space="preserve">Births (Indigenous language)</w:t>
      </w:r>
      <w:bookmarkEnd w:id="112"/>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BodyText"/>
      </w:pPr>
      <w:r>
        <w:t xml:space="preserve"> </w:t>
      </w:r>
    </w:p>
    <w:p>
      <w:pPr>
        <w:pStyle w:val="BodyText"/>
      </w:pPr>
      <w:r>
        <w:t xml:space="preserve">The teenage birth rate in Moonee Valley is lower than the rate for the Metro West region. The rate was 1.83 per 1,000 population compared to 7.6 per 1,000.</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63-1.png" id="0" name="Picture"/>
                    <pic:cNvPicPr>
                      <a:picLocks noChangeArrowheads="1" noChangeAspect="1"/>
                    </pic:cNvPicPr>
                  </pic:nvPicPr>
                  <pic:blipFill>
                    <a:blip r:embed="rId113"/>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1"/>
      </w:pPr>
      <w:bookmarkStart w:id="114" w:name="X71a765427ec0c2e1fe966b285289f96d60cfb3f"/>
      <w:r>
        <w:t xml:space="preserve">Early childhood development (Indigenous language)</w:t>
      </w:r>
      <w:bookmarkEnd w:id="114"/>
    </w:p>
    <w:p>
      <w:pPr>
        <w:pStyle w:val="FirstParagraph"/>
      </w:pPr>
      <w:r>
        <w:t xml:space="preserve">Data from the Australian Early Development Census shows that about seven per cent of children were developmentally vulnerable in two or more domains in 2018. This was lower than 2015 (eight per cent). There seems to be a lot of variation in the data at the SA2 level.</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5-1.png" id="0" name="Picture"/>
                    <pic:cNvPicPr>
                      <a:picLocks noChangeArrowheads="1" noChangeAspect="1"/>
                    </pic:cNvPicPr>
                  </pic:nvPicPr>
                  <pic:blipFill>
                    <a:blip r:embed="rId115"/>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16" w:name="aged-care-indigenous-language"/>
      <w:r>
        <w:t xml:space="preserve">Aged care (Indigenous language)</w:t>
      </w:r>
      <w:bookmarkEnd w:id="116"/>
    </w:p>
    <w:p>
      <w:pPr>
        <w:pStyle w:val="FirstParagraph"/>
      </w:pPr>
      <w:r>
        <w:t xml:space="preserve">Data from the Australian Institute of Health and Wellbeing shows that in June 2019, there were 1,168 residential aged care places in the City of Moonee Valley. Nearly all of the aged care facilities in Moonee Valley are not-for profit facilities or private facilities.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66-1.png" id="0" name="Picture"/>
                    <pic:cNvPicPr>
                      <a:picLocks noChangeArrowheads="1" noChangeAspect="1"/>
                    </pic:cNvPicPr>
                  </pic:nvPicPr>
                  <pic:blipFill>
                    <a:blip r:embed="rId117"/>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Cyril Jewell House, located in Keilor East, is the only government aged care facility in the municipality.</w:t>
      </w:r>
    </w:p>
    <w:p>
      <w:pPr>
        <w:pStyle w:val="BodyText"/>
      </w:pPr>
      <w:r>
        <w:drawing>
          <wp:inline>
            <wp:extent cx="5727700" cy="4037104"/>
            <wp:effectExtent b="0" l="0" r="0" t="0"/>
            <wp:docPr descr=""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18"/>
                    <a:stretch>
                      <a:fillRect/>
                    </a:stretch>
                  </pic:blipFill>
                  <pic:spPr bwMode="auto">
                    <a:xfrm>
                      <a:off x="0" y="0"/>
                      <a:ext cx="5727700" cy="4037104"/>
                    </a:xfrm>
                    <a:prstGeom prst="rect">
                      <a:avLst/>
                    </a:prstGeom>
                    <a:noFill/>
                    <a:ln w="9525">
                      <a:noFill/>
                      <a:headEnd/>
                      <a:tailEnd/>
                    </a:ln>
                  </pic:spPr>
                </pic:pic>
              </a:graphicData>
            </a:graphic>
          </wp:inline>
        </w:drawing>
      </w:r>
    </w:p>
    <w:p>
      <w:pPr>
        <w:pStyle w:val="BodyText"/>
      </w:pPr>
      <w:r>
        <w:t xml:space="preserve">Most of the deaths due to COVID-19 in Victoria have occurred in aged care facilities. Data from the Department of Health and Human Services shows that (up to 20 October 2020,) Within the municipality, there were:</w:t>
      </w:r>
    </w:p>
    <w:p>
      <w:pPr>
        <w:pStyle w:val="Compact"/>
        <w:numPr>
          <w:numId w:val="1005"/>
          <w:ilvl w:val="0"/>
        </w:numPr>
      </w:pPr>
      <w:r>
        <w:t xml:space="preserve">84 cases and nine deaths at the Embracia Moonee Valley facility in Avondale Heights</w:t>
      </w:r>
    </w:p>
    <w:p>
      <w:pPr>
        <w:pStyle w:val="Compact"/>
        <w:numPr>
          <w:numId w:val="1005"/>
          <w:ilvl w:val="0"/>
        </w:numPr>
      </w:pPr>
      <w:r>
        <w:t xml:space="preserve">71 cases and 15 deaths at the Gregory Lodge facility in Flemington</w:t>
      </w:r>
    </w:p>
    <w:p>
      <w:pPr>
        <w:pStyle w:val="Compact"/>
        <w:numPr>
          <w:numId w:val="1005"/>
          <w:ilvl w:val="0"/>
        </w:numPr>
      </w:pPr>
      <w:r>
        <w:t xml:space="preserve">68 cases and seven deaths at the Menarock Life facility in Essendon</w:t>
      </w:r>
    </w:p>
    <w:p>
      <w:pPr>
        <w:pStyle w:val="Compact"/>
        <w:numPr>
          <w:numId w:val="1005"/>
          <w:ilvl w:val="0"/>
        </w:numPr>
      </w:pPr>
      <w:r>
        <w:t xml:space="preserve">22 cases and four deaths at Arcadia Aged Care in Essendon</w:t>
      </w:r>
    </w:p>
    <w:p>
      <w:pPr>
        <w:pStyle w:val="Heading2"/>
      </w:pPr>
      <w:bookmarkStart w:id="119" w:name="death"/>
      <w:r>
        <w:t xml:space="preserve">Death</w:t>
      </w:r>
      <w:bookmarkEnd w:id="119"/>
    </w:p>
    <w:p>
      <w:pPr>
        <w:pStyle w:val="Heading3"/>
      </w:pPr>
      <w:bookmarkStart w:id="120" w:name="premature-deaths"/>
      <w:r>
        <w:t xml:space="preserve">Premature deaths</w:t>
      </w:r>
      <w:bookmarkEnd w:id="120"/>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t xml:space="preserve">ADD covid 19 data if available by LGA !!!</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8-1.png" id="0" name="Picture"/>
                    <pic:cNvPicPr>
                      <a:picLocks noChangeArrowheads="1" noChangeAspect="1"/>
                    </pic:cNvPicPr>
                  </pic:nvPicPr>
                  <pic:blipFill>
                    <a:blip r:embed="rId121"/>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22" w:name="top-causes-of-death"/>
      <w:r>
        <w:t xml:space="preserve">Top causes of death</w:t>
      </w:r>
      <w:bookmarkEnd w:id="122"/>
    </w:p>
    <w:p>
      <w:pPr>
        <w:pStyle w:val="FirstParagraph"/>
      </w:pPr>
      <w:r>
        <w:t xml:space="preserve">The most common causes of death in for Moonee Valley in 2018 was coronary heart disease, responsible for 489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pPr>
        <w:pStyle w:val="BodyText"/>
      </w:pPr>
      <w:r>
        <w:t xml:space="preserve">Leading underlying causes of death by age - add to narrative !!!</w:t>
      </w:r>
    </w:p>
    <w:p>
      <w:pPr>
        <w:pStyle w:val="BodyText"/>
      </w:pPr>
      <w:r>
        <w:t xml:space="preserve">As well as differences by sex, the leading causes of death also vary by age. Chronic diseases feature more prominently among people aged 45 and over, while the leading causes of death among people aged 1–44 are external causes, such as accidents and suicides (Figure 3.2).</w:t>
      </w:r>
    </w:p>
    <w:p>
      <w:pPr>
        <w:pStyle w:val="BodyText"/>
      </w:pPr>
      <w:hyperlink r:id="rId123">
        <w:r>
          <w:rPr>
            <w:rStyle w:val="Hyperlink"/>
          </w:rPr>
          <w:t xml:space="preserve">https://www.aihw.gov.au/reports/life-expectancy-death/deaths-in-australia/contents/leading-causes-of-death</w:t>
        </w:r>
      </w:hyperlink>
    </w:p>
    <w:p>
      <w:pPr>
        <w:pStyle w:val="BodyText"/>
      </w:pPr>
      <w:r>
        <w:t xml:space="preserve">A spotlight on Indigenous health and wellbeing (Indigenous Profile 2016 / 2020, inform RAP 2021-25?)</w:t>
      </w:r>
    </w:p>
    <w:p>
      <w:r>
        <w:br w:type="page"/>
      </w:r>
    </w:p>
    <w:p>
      <w:pPr>
        <w:pStyle w:val="Heading1"/>
      </w:pPr>
      <w:bookmarkStart w:id="124" w:name="glossary-and-definitions"/>
      <w:r>
        <w:t xml:space="preserve">Glossary and definitions</w:t>
      </w:r>
      <w:bookmarkEnd w:id="124"/>
    </w:p>
    <w:p>
      <w:r>
        <w:br w:type="page"/>
      </w:r>
    </w:p>
    <w:p>
      <w:pPr>
        <w:pStyle w:val="Heading1"/>
      </w:pPr>
      <w:bookmarkStart w:id="125" w:name="references-indigenous-language"/>
      <w:r>
        <w:t xml:space="preserve">References (Indigenous language)</w:t>
      </w:r>
      <w:bookmarkEnd w:id="125"/>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Bureau of Statistics,</w:t>
      </w:r>
      <w:r>
        <w:t xml:space="preserve"> </w:t>
      </w:r>
      <w:r>
        <w:rPr>
          <w:i/>
        </w:rPr>
        <w:t xml:space="preserve">Census of Population and Housing 2016 Census of Population and Housing: Estimating homelessness, 2016</w:t>
      </w:r>
      <w:r>
        <w:t xml:space="preserve">, March 2018, Australian Government, Canberra.</w:t>
      </w:r>
    </w:p>
    <w:p>
      <w:pPr>
        <w:pStyle w:val="BodyText"/>
      </w:pPr>
      <w:r>
        <w:t xml:space="preserve">Australian Bureau of Statistics, 2019,</w:t>
      </w:r>
      <w:r>
        <w:t xml:space="preserve"> </w:t>
      </w:r>
      <w:r>
        <w:rPr>
          <w:i/>
        </w:rPr>
        <w:t xml:space="preserve">3235.0 Regional Population by Age and Sex, Australia</w:t>
      </w:r>
      <w:r>
        <w:t xml:space="preserve">, Australian Government, Canberra.</w:t>
      </w:r>
    </w:p>
    <w:p>
      <w:pPr>
        <w:pStyle w:val="BodyText"/>
      </w:pPr>
      <w:r>
        <w:t xml:space="preserve">Australian Bureau of Statistics, 2020,</w:t>
      </w:r>
      <w:r>
        <w:t xml:space="preserve"> </w:t>
      </w:r>
      <w:r>
        <w:t xml:space="preserve">‘</w:t>
      </w:r>
      <w:r>
        <w:t xml:space="preserve">Weekly Payroll Jobs and Wages in Australia</w:t>
      </w:r>
      <w:r>
        <w:t xml:space="preserve">’</w:t>
      </w:r>
      <w:r>
        <w:t xml:space="preserve">, 7 October, Australian Government, Canberra.</w:t>
      </w:r>
      <w:r>
        <w:t xml:space="preserve"> </w:t>
      </w:r>
      <w:hyperlink r:id="rId126">
        <w:r>
          <w:rPr>
            <w:rStyle w:val="Hyperlink"/>
          </w:rPr>
          <w:t xml:space="preserve">https://www.abs.gov.au/statistics/labour/earnings-and-work-hours/weekly-payroll-jobs-and-wages-australia/latest-release</w:t>
        </w:r>
      </w:hyperlink>
      <w:r>
        <w:t xml:space="preserve">, accessed 7 October 2019.</w:t>
      </w:r>
    </w:p>
    <w:p>
      <w:pPr>
        <w:pStyle w:val="BodyText"/>
      </w:pPr>
      <w:r>
        <w:t xml:space="preserve">Australian Early Development Census, 2019,</w:t>
      </w:r>
      <w:r>
        <w:t xml:space="preserve"> </w:t>
      </w:r>
      <w:r>
        <w:t xml:space="preserve">‘</w:t>
      </w:r>
      <w:r>
        <w:t xml:space="preserve">Additional Data Products</w:t>
      </w:r>
      <w:r>
        <w:t xml:space="preserve">’</w:t>
      </w:r>
      <w:r>
        <w:t xml:space="preserve">, Australian Government, Canberra,</w:t>
      </w:r>
      <w:r>
        <w:t xml:space="preserve"> </w:t>
      </w:r>
      <w:hyperlink r:id="rId127">
        <w:r>
          <w:rPr>
            <w:rStyle w:val="Hyperlink"/>
          </w:rPr>
          <w:t xml:space="preserve">https://www.aedc.gov.au/data/downloads</w:t>
        </w:r>
      </w:hyperlink>
      <w:r>
        <w:t xml:space="preserve">, accessed 22 September 2019.</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28">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29">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30">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31">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32">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33">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2020a,</w:t>
      </w:r>
      <w:r>
        <w:t xml:space="preserve"> </w:t>
      </w:r>
      <w:r>
        <w:t xml:space="preserve">‘</w:t>
      </w:r>
      <w:r>
        <w:t xml:space="preserve">Rental Report</w:t>
      </w:r>
      <w:r>
        <w:t xml:space="preserve">’</w:t>
      </w:r>
      <w:r>
        <w:t xml:space="preserve">, Victorian Government, Melbourne,</w:t>
      </w:r>
      <w:r>
        <w:t xml:space="preserve"> </w:t>
      </w:r>
      <w:hyperlink r:id="rId134">
        <w:r>
          <w:rPr>
            <w:rStyle w:val="Hyperlink"/>
          </w:rPr>
          <w:t xml:space="preserve">https://www.dhhs.vic.gov.au/publications/rental-report</w:t>
        </w:r>
      </w:hyperlink>
      <w:r>
        <w:t xml:space="preserve">, accessed 22 September 2020.</w:t>
      </w:r>
    </w:p>
    <w:p>
      <w:pPr>
        <w:pStyle w:val="BodyText"/>
      </w:pPr>
      <w:r>
        <w:t xml:space="preserve">Department of Health and Human Services, 2020b,</w:t>
      </w:r>
      <w:r>
        <w:t xml:space="preserve"> </w:t>
      </w:r>
      <w:r>
        <w:t xml:space="preserve">‘</w:t>
      </w:r>
      <w:r>
        <w:t xml:space="preserve">Case locations and outbreaks</w:t>
      </w:r>
      <w:r>
        <w:t xml:space="preserve">’</w:t>
      </w:r>
      <w:r>
        <w:t xml:space="preserve">, Victorian Government, Melbourne,</w:t>
      </w:r>
      <w:r>
        <w:t xml:space="preserve"> </w:t>
      </w:r>
      <w:hyperlink r:id="rId135">
        <w:r>
          <w:rPr>
            <w:rStyle w:val="Hyperlink"/>
          </w:rPr>
          <w:t xml:space="preserve">https://www.dhhs.vic.gov.au/case-locations-and-outbreaks</w:t>
        </w:r>
      </w:hyperlink>
      <w:r>
        <w:t xml:space="preserve">, accessed 20 October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36">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37">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38">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39">
        <w:r>
          <w:rPr>
            <w:rStyle w:val="Hyperlink"/>
          </w:rPr>
          <w:t xml:space="preserve">https://responsiblegambling.vic.gov.au/resources/gambling-victoria/pokies-across-victoria/moonee-valley/</w:t>
        </w:r>
      </w:hyperlink>
      <w:r>
        <w:t xml:space="preserve">, accessed 22 September 2020.</w:t>
      </w:r>
    </w:p>
    <w:p>
      <w:pPr>
        <w:pStyle w:val="BodyText"/>
      </w:pPr>
      <w:r>
        <w:t xml:space="preserve">Women’s Health West, 2019,</w:t>
      </w:r>
      <w:r>
        <w:t xml:space="preserve"> </w:t>
      </w:r>
      <w:r>
        <w:t xml:space="preserve">‘</w:t>
      </w:r>
      <w:r>
        <w:t xml:space="preserve">Women’s Health Atlas</w:t>
      </w:r>
      <w:r>
        <w:t xml:space="preserve">’</w:t>
      </w:r>
      <w:r>
        <w:t xml:space="preserve">,</w:t>
      </w:r>
      <w:r>
        <w:t xml:space="preserve"> </w:t>
      </w:r>
      <w:hyperlink r:id="rId140">
        <w:r>
          <w:rPr>
            <w:rStyle w:val="Hyperlink"/>
          </w:rPr>
          <w:t xml:space="preserve">https://victorianwomenshealthatlas.net.au</w:t>
        </w:r>
      </w:hyperlink>
      <w:r>
        <w:t xml:space="preserve">, accessed 22 September 2020.</w:t>
      </w:r>
    </w:p>
    <w:p>
      <w:r>
        <w:br w:type="page"/>
      </w:r>
    </w:p>
    <w:p>
      <w:pPr>
        <w:pStyle w:val="Heading1"/>
      </w:pPr>
      <w:bookmarkStart w:id="141" w:name="appendices"/>
      <w:r>
        <w:t xml:space="preserve">Appendices</w:t>
      </w:r>
      <w:bookmarkEnd w:id="141"/>
    </w:p>
    <w:p>
      <w:pPr>
        <w:pStyle w:val="Heading2"/>
      </w:pPr>
      <w:bookmarkStart w:id="142" w:name="X7c8046dbba798b723dc2c6164b556230d8e1812"/>
      <w:r>
        <w:t xml:space="preserve">Victorian Population Health Survey 2017 data, comparison against other local government areas</w:t>
      </w:r>
      <w:bookmarkEnd w:id="142"/>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71-1.png" id="0" name="Picture"/>
                    <pic:cNvPicPr>
                      <a:picLocks noChangeArrowheads="1" noChangeAspect="1"/>
                    </pic:cNvPicPr>
                  </pic:nvPicPr>
                  <pic:blipFill>
                    <a:blip r:embed="rId143"/>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535F6A5" w:rsidR="005944C6" w:rsidRDefault="005944C6">
    <w:pPr>
      <w:pStyle w:val="Footer"/>
    </w:pPr>
    <w:r>
      <w:t>Moonee Valley Health Profile 2020</w:t>
    </w:r>
  </w:p>
  <w:p w14:paraId="62440E7A" w14:textId="41E2A351" w:rsidR="00B27351" w:rsidRDefault="00B27351">
    <w:pPr>
      <w:pStyle w:val="Footer"/>
    </w:pPr>
    <w:r>
      <w:t>Add indigenous title!!!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31" Target="media/rId31.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43" Target="media/rId143.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95" Target="media/rId95.png" /><Relationship Type="http://schemas.openxmlformats.org/officeDocument/2006/relationships/image" Id="rId118" Target="media/rId118.png" /><Relationship Type="http://schemas.openxmlformats.org/officeDocument/2006/relationships/image" Id="rId88" Target="media/rId88.png" /><Relationship Type="http://schemas.openxmlformats.org/officeDocument/2006/relationships/image" Id="rId98" Target="media/rId98.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hyperlink" Id="rId136" Target="https://aodstats.org.au/index.php" TargetMode="External" /><Relationship Type="http://schemas.openxmlformats.org/officeDocument/2006/relationships/hyperlink" Id="rId128" Target="https://hwd.health.gov.au/datatool.html" TargetMode="External" /><Relationship Type="http://schemas.openxmlformats.org/officeDocument/2006/relationships/hyperlink" Id="rId139" Target="https://responsiblegambling.vic.gov.au/resources/gambling-victoria/pokies-across-victoria/moonee-valley/" TargetMode="External" /><Relationship Type="http://schemas.openxmlformats.org/officeDocument/2006/relationships/hyperlink" Id="rId140" Target="https://victorianwomenshealthatlas.net.au" TargetMode="External" /><Relationship Type="http://schemas.openxmlformats.org/officeDocument/2006/relationships/hyperlink" Id="rId126" Target="https://www.abs.gov.au/statistics/labour/earnings-and-work-hours/weekly-payroll-jobs-and-wages-australia/latest-release" TargetMode="External" /><Relationship Type="http://schemas.openxmlformats.org/officeDocument/2006/relationships/hyperlink" Id="rId127" Target="https://www.aedc.gov.au/data/downloads" TargetMode="External" /><Relationship Type="http://schemas.openxmlformats.org/officeDocument/2006/relationships/hyperlink" Id="rId25" Target="https://www.aihw.gov.au/reports-data/australias-health" TargetMode="External" /><Relationship Type="http://schemas.openxmlformats.org/officeDocument/2006/relationships/hyperlink" Id="rId131" Target="https://www.aihw.gov.au/reports/cancer-screening/national-cancer-screening-programs-participation/contents/summary" TargetMode="External" /><Relationship Type="http://schemas.openxmlformats.org/officeDocument/2006/relationships/hyperlink" Id="rId123" Target="https://www.aihw.gov.au/reports/life-expectancy-death/deaths-in-australia/contents/leading-causes-of-death" TargetMode="External" /><Relationship Type="http://schemas.openxmlformats.org/officeDocument/2006/relationships/hyperlink" Id="rId129" Target="https://www.aihw.gov.au/reports/life-expectancy-death/mort-books/contents/mort-books" TargetMode="External" /><Relationship Type="http://schemas.openxmlformats.org/officeDocument/2006/relationships/hyperlink" Id="rId132" Target="https://www.crimestatistics.vic.gov.au/crime-statistics/latest-victorian-crime-data" TargetMode="External" /><Relationship Type="http://schemas.openxmlformats.org/officeDocument/2006/relationships/hyperlink" Id="rId135" Target="https://www.dhhs.vic.gov.au/case-locations-and-outbreaks" TargetMode="External" /><Relationship Type="http://schemas.openxmlformats.org/officeDocument/2006/relationships/hyperlink" Id="rId134" Target="https://www.dhhs.vic.gov.au/publications/rental-report" TargetMode="External" /><Relationship Type="http://schemas.openxmlformats.org/officeDocument/2006/relationships/hyperlink" Id="rId133" Target="https://www.employment.gov.au/small-area-labour-markets-publication-0" TargetMode="External" /><Relationship Type="http://schemas.openxmlformats.org/officeDocument/2006/relationships/hyperlink" Id="rId130" Target="https://www.gen-agedcaredata.gov.au/resources/access-data/2019/september/aged-care-service-list-30-june-2019" TargetMode="External" /><Relationship Type="http://schemas.openxmlformats.org/officeDocument/2006/relationships/hyperlink" Id="rId137" Target="https://www.vcglr.vic.gov.au/gambling-data" TargetMode="External" /><Relationship Type="http://schemas.openxmlformats.org/officeDocument/2006/relationships/hyperlink" Id="rId138" Target="https://www.vcglr.vic.gov.au/liquor-data" TargetMode="External" /></Relationships>
</file>

<file path=word/_rels/footnotes.xml.rels><?xml version="1.0" encoding="UTF-8"?>
<Relationships xmlns="http://schemas.openxmlformats.org/package/2006/relationships"><Relationship Type="http://schemas.openxmlformats.org/officeDocument/2006/relationships/hyperlink" Id="rId136" Target="https://aodstats.org.au/index.php" TargetMode="External" /><Relationship Type="http://schemas.openxmlformats.org/officeDocument/2006/relationships/hyperlink" Id="rId128" Target="https://hwd.health.gov.au/datatool.html" TargetMode="External" /><Relationship Type="http://schemas.openxmlformats.org/officeDocument/2006/relationships/hyperlink" Id="rId139" Target="https://responsiblegambling.vic.gov.au/resources/gambling-victoria/pokies-across-victoria/moonee-valley/" TargetMode="External" /><Relationship Type="http://schemas.openxmlformats.org/officeDocument/2006/relationships/hyperlink" Id="rId140" Target="https://victorianwomenshealthatlas.net.au" TargetMode="External" /><Relationship Type="http://schemas.openxmlformats.org/officeDocument/2006/relationships/hyperlink" Id="rId126" Target="https://www.abs.gov.au/statistics/labour/earnings-and-work-hours/weekly-payroll-jobs-and-wages-australia/latest-release" TargetMode="External" /><Relationship Type="http://schemas.openxmlformats.org/officeDocument/2006/relationships/hyperlink" Id="rId127" Target="https://www.aedc.gov.au/data/downloads" TargetMode="External" /><Relationship Type="http://schemas.openxmlformats.org/officeDocument/2006/relationships/hyperlink" Id="rId25" Target="https://www.aihw.gov.au/reports-data/australias-health" TargetMode="External" /><Relationship Type="http://schemas.openxmlformats.org/officeDocument/2006/relationships/hyperlink" Id="rId131" Target="https://www.aihw.gov.au/reports/cancer-screening/national-cancer-screening-programs-participation/contents/summary" TargetMode="External" /><Relationship Type="http://schemas.openxmlformats.org/officeDocument/2006/relationships/hyperlink" Id="rId123" Target="https://www.aihw.gov.au/reports/life-expectancy-death/deaths-in-australia/contents/leading-causes-of-death" TargetMode="External" /><Relationship Type="http://schemas.openxmlformats.org/officeDocument/2006/relationships/hyperlink" Id="rId129" Target="https://www.aihw.gov.au/reports/life-expectancy-death/mort-books/contents/mort-books" TargetMode="External" /><Relationship Type="http://schemas.openxmlformats.org/officeDocument/2006/relationships/hyperlink" Id="rId132" Target="https://www.crimestatistics.vic.gov.au/crime-statistics/latest-victorian-crime-data" TargetMode="External" /><Relationship Type="http://schemas.openxmlformats.org/officeDocument/2006/relationships/hyperlink" Id="rId135" Target="https://www.dhhs.vic.gov.au/case-locations-and-outbreaks" TargetMode="External" /><Relationship Type="http://schemas.openxmlformats.org/officeDocument/2006/relationships/hyperlink" Id="rId134" Target="https://www.dhhs.vic.gov.au/publications/rental-report" TargetMode="External" /><Relationship Type="http://schemas.openxmlformats.org/officeDocument/2006/relationships/hyperlink" Id="rId133" Target="https://www.employment.gov.au/small-area-labour-markets-publication-0" TargetMode="External" /><Relationship Type="http://schemas.openxmlformats.org/officeDocument/2006/relationships/hyperlink" Id="rId130" Target="https://www.gen-agedcaredata.gov.au/resources/access-data/2019/september/aged-care-service-list-30-june-2019" TargetMode="External" /><Relationship Type="http://schemas.openxmlformats.org/officeDocument/2006/relationships/hyperlink" Id="rId137" Target="https://www.vcglr.vic.gov.au/gambling-data" TargetMode="External" /><Relationship Type="http://schemas.openxmlformats.org/officeDocument/2006/relationships/hyperlink" Id="rId138" Target="https://www.vcglr.vic.gov.au/liquor-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add artwork and council logo</dc:creator>
  <cp:keywords/>
  <dcterms:created xsi:type="dcterms:W3CDTF">2020-10-26T04:11:45Z</dcterms:created>
  <dcterms:modified xsi:type="dcterms:W3CDTF">2020-10-26T04:11:45Z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Indigenous language title</vt:lpwstr>
  </property>
</Properties>
</file>