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3.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50.png" ContentType="image/png"/>
  <Override PartName="/word/media/rId52.png" ContentType="image/png"/>
  <Override PartName="/word/media/rId53.png" ContentType="image/png"/>
  <Override PartName="/word/media/rId54.png" ContentType="image/png"/>
  <Override PartName="/word/media/rId56.png" ContentType="image/png"/>
  <Override PartName="/word/media/rId58.png" ContentType="image/png"/>
  <Override PartName="/word/media/rId59.png" ContentType="image/png"/>
  <Override PartName="/word/media/rId25.png" ContentType="image/png"/>
  <Override PartName="/word/media/rId63.png" ContentType="image/png"/>
  <Override PartName="/word/media/rId64.png" ContentType="image/png"/>
  <Override PartName="/word/media/rId66.png" ContentType="image/png"/>
  <Override PartName="/word/media/rId70.png" ContentType="image/png"/>
  <Override PartName="/word/media/rId71.png" ContentType="image/png"/>
  <Override PartName="/word/media/rId74.png" ContentType="image/png"/>
  <Override PartName="/word/media/rId75.png" ContentType="image/png"/>
  <Override PartName="/word/media/rId77.png" ContentType="image/png"/>
  <Override PartName="/word/media/rId79.png" ContentType="image/png"/>
  <Override PartName="/word/media/rId80.png" ContentType="image/png"/>
  <Override PartName="/word/media/rId82.png" ContentType="image/png"/>
  <Override PartName="/word/media/rId83.png" ContentType="image/png"/>
  <Override PartName="/word/media/rId86.png" ContentType="image/png"/>
  <Override PartName="/word/media/rId87.png" ContentType="image/png"/>
  <Override PartName="/word/media/rId90.png" ContentType="image/png"/>
  <Override PartName="/word/media/rId91.png" ContentType="image/png"/>
  <Override PartName="/word/media/rId93.png" ContentType="image/png"/>
  <Override PartName="/word/media/rId96.png" ContentType="image/png"/>
  <Override PartName="/word/media/rId97.png" ContentType="image/png"/>
  <Override PartName="/word/media/rId98.png" ContentType="image/png"/>
  <Override PartName="/word/media/rId100.png" ContentType="image/png"/>
  <Override PartName="/word/media/rId103.png" ContentType="image/png"/>
  <Override PartName="/word/media/rId105.png" ContentType="image/png"/>
  <Override PartName="/word/media/rId107.png" ContentType="image/png"/>
  <Override PartName="/word/media/rId27.png" ContentType="image/png"/>
  <Override PartName="/word/media/rId109.png" ContentType="image/png"/>
  <Override PartName="/word/media/rId113.png" ContentType="image/png"/>
  <Override PartName="/word/media/rId132.png" ContentType="image/png"/>
  <Override PartName="/word/media/rId28.png" ContentType="image/png"/>
  <Override PartName="/word/media/rId29.png" ContentType="image/png"/>
  <Override PartName="/word/media/rId30.png" ContentType="image/png"/>
  <Override PartName="/word/media/rId85.png" ContentType="image/png"/>
  <Override PartName="/word/media/rId110.png" ContentType="image/png"/>
  <Override PartName="/word/media/rId78.png" ContentType="image/png"/>
  <Override PartName="/word/media/rId88.png" ContentType="image/png"/>
  <Override PartName="/word/media/rId46.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Moonee</w:t>
      </w:r>
      <w:r>
        <w:t xml:space="preserve"> </w:t>
      </w:r>
      <w:r>
        <w:t xml:space="preserve">Valley</w:t>
      </w:r>
      <w:r>
        <w:t xml:space="preserve"> </w:t>
      </w:r>
      <w:r>
        <w:t xml:space="preserve">Health</w:t>
      </w:r>
      <w:r>
        <w:t xml:space="preserve"> </w:t>
      </w:r>
      <w:r>
        <w:t xml:space="preserve">Profile</w:t>
      </w:r>
      <w:r>
        <w:t xml:space="preserve"> </w:t>
      </w:r>
      <w:r>
        <w:t xml:space="preserve">2020</w:t>
      </w:r>
    </w:p>
    <w:p>
      <w:pPr>
        <w:pStyle w:val="Heading1"/>
      </w:pPr>
      <w:bookmarkStart w:id="20" w:name="executive-summary"/>
      <w:r>
        <w:t xml:space="preserve">Executive summary</w:t>
      </w:r>
      <w:bookmarkEnd w:id="20"/>
    </w:p>
    <w:p>
      <w:pPr>
        <w:pStyle w:val="FirstParagraph"/>
      </w:pPr>
      <w:r>
        <w:t xml:space="preserve">Some sort of infographic like the previous health tracker</w:t>
      </w:r>
    </w:p>
    <w:p>
      <w:r>
        <w:br w:type="page"/>
      </w:r>
    </w:p>
    <w:p>
      <w:pPr>
        <w:pStyle w:val="Heading1"/>
      </w:pPr>
      <w:bookmarkStart w:id="21" w:name="introduction"/>
      <w:r>
        <w:t xml:space="preserve">Introduction</w:t>
      </w:r>
      <w:bookmarkEnd w:id="21"/>
    </w:p>
    <w:p>
      <w:pPr>
        <w:pStyle w:val="FirstParagraph"/>
      </w:pPr>
      <w:r>
        <w:t xml:space="preserve">within the document, interleave with diagrams from</w:t>
      </w:r>
      <w:r>
        <w:t xml:space="preserve"> </w:t>
      </w:r>
      <w:hyperlink r:id="rId22">
        <w:r>
          <w:rPr>
            <w:rStyle w:val="Hyperlink"/>
          </w:rPr>
          <w:t xml:space="preserve">https://www.aihw.gov.au/reports-data/australias-health</w:t>
        </w:r>
      </w:hyperlink>
    </w:p>
    <w:p>
      <w:r>
        <w:br w:type="page"/>
      </w:r>
    </w:p>
    <w:p>
      <w:pPr>
        <w:pStyle w:val="Heading1"/>
      </w:pPr>
      <w:bookmarkStart w:id="23" w:name="population"/>
      <w:r>
        <w:t xml:space="preserve">Population</w:t>
      </w:r>
      <w:bookmarkEnd w:id="23"/>
    </w:p>
    <w:p>
      <w:pPr>
        <w:pStyle w:val="Heading2"/>
      </w:pPr>
      <w:bookmarkStart w:id="24" w:name="current-and-projected"/>
      <w:r>
        <w:t xml:space="preserve">Current and projected</w:t>
      </w:r>
      <w:bookmarkEnd w:id="24"/>
    </w:p>
    <w:p>
      <w:pPr>
        <w:pStyle w:val="FirstParagraph"/>
      </w:pPr>
      <w:r>
        <w:t xml:space="preserve">The population of the City of Moonee Valley is forecast to increase from about 130,000 in 2019, to around 170,000 in 2040.</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1.png" id="0" name="Picture"/>
                    <pic:cNvPicPr>
                      <a:picLocks noChangeArrowheads="1" noChangeAspect="1"/>
                    </pic:cNvPicPr>
                  </pic:nvPicPr>
                  <pic:blipFill>
                    <a:blip r:embed="rId25"/>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2"/>
      </w:pPr>
      <w:bookmarkStart w:id="26" w:name="age-breakdown"/>
      <w:r>
        <w:t xml:space="preserve">Age breakdown</w:t>
      </w:r>
      <w:bookmarkEnd w:id="26"/>
    </w:p>
    <w:p>
      <w:pPr>
        <w:pStyle w:val="FirstParagraph"/>
      </w:pPr>
      <w:r>
        <w:t xml:space="preserve">The population structure of the City of Moonee Valley is not forecast to change greatly between 2020 and 2040. There will be an increase in all age groups, though there will be a slight increase in the median age and a greater proportion of older residents.</w:t>
      </w:r>
    </w:p>
    <w:p>
      <w:pPr>
        <w:pStyle w:val="BodyText"/>
      </w:pPr>
      <w:r>
        <w:drawing>
          <wp:inline>
            <wp:extent cx="5727700" cy="3477532"/>
            <wp:effectExtent b="0" l="0" r="0" t="0"/>
            <wp:docPr descr="" title="" id="1" name="Picture"/>
            <a:graphic>
              <a:graphicData uri="http://schemas.openxmlformats.org/drawingml/2006/picture">
                <pic:pic>
                  <pic:nvPicPr>
                    <pic:cNvPr descr="health_profile_doc_files/figure-docx/unnamed-chunk-6-1.png" id="0" name="Picture"/>
                    <pic:cNvPicPr>
                      <a:picLocks noChangeArrowheads="1" noChangeAspect="1"/>
                    </pic:cNvPicPr>
                  </pic:nvPicPr>
                  <pic:blipFill>
                    <a:blip r:embed="rId27"/>
                    <a:stretch>
                      <a:fillRect/>
                    </a:stretch>
                  </pic:blipFill>
                  <pic:spPr bwMode="auto">
                    <a:xfrm>
                      <a:off x="0" y="0"/>
                      <a:ext cx="5727700" cy="3477532"/>
                    </a:xfrm>
                    <a:prstGeom prst="rect">
                      <a:avLst/>
                    </a:prstGeom>
                    <a:noFill/>
                    <a:ln w="9525">
                      <a:noFill/>
                      <a:headEnd/>
                      <a:tailEnd/>
                    </a:ln>
                  </pic:spPr>
                </pic:pic>
              </a:graphicData>
            </a:graphic>
          </wp:inline>
        </w:drawing>
      </w:r>
    </w:p>
    <w:p>
      <w:pPr>
        <w:pStyle w:val="BodyText"/>
      </w:pPr>
      <w:r>
        <w:t xml:space="preserve">This will see population increases in all age groups and will increase the need for service provision to meet the needs of all these people.</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7-1.png" id="0" name="Picture"/>
                    <pic:cNvPicPr>
                      <a:picLocks noChangeArrowheads="1" noChangeAspect="1"/>
                    </pic:cNvPicPr>
                  </pic:nvPicPr>
                  <pic:blipFill>
                    <a:blip r:embed="rId28"/>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By neighbourhood, we can see that the highest proportions of those aged 65 years and over are in Milleara and Avondale Heights. Aberfeldie and Flemington have the highest proportions of young people.</w:t>
      </w:r>
    </w:p>
    <w:p>
      <w:pPr>
        <w:pStyle w:val="BodyText"/>
      </w:pPr>
      <w:r>
        <w:drawing>
          <wp:inline>
            <wp:extent cx="5727700" cy="4091214"/>
            <wp:effectExtent b="0" l="0" r="0" t="0"/>
            <wp:docPr descr="" title="" id="1" name="Picture"/>
            <a:graphic>
              <a:graphicData uri="http://schemas.openxmlformats.org/drawingml/2006/picture">
                <pic:pic>
                  <pic:nvPicPr>
                    <pic:cNvPr descr="health_profile_doc_files/figure-docx/unnamed-chunk-8-1.png" id="0" name="Picture"/>
                    <pic:cNvPicPr>
                      <a:picLocks noChangeArrowheads="1" noChangeAspect="1"/>
                    </pic:cNvPicPr>
                  </pic:nvPicPr>
                  <pic:blipFill>
                    <a:blip r:embed="rId29"/>
                    <a:stretch>
                      <a:fillRect/>
                    </a:stretch>
                  </pic:blipFill>
                  <pic:spPr bwMode="auto">
                    <a:xfrm>
                      <a:off x="0" y="0"/>
                      <a:ext cx="5727700" cy="4091214"/>
                    </a:xfrm>
                    <a:prstGeom prst="rect">
                      <a:avLst/>
                    </a:prstGeom>
                    <a:noFill/>
                    <a:ln w="9525">
                      <a:noFill/>
                      <a:headEnd/>
                      <a:tailEnd/>
                    </a:ln>
                  </pic:spPr>
                </pic:pic>
              </a:graphicData>
            </a:graphic>
          </wp:inline>
        </w:drawing>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9-1.png" id="0" name="Picture"/>
                    <pic:cNvPicPr>
                      <a:picLocks noChangeArrowheads="1" noChangeAspect="1"/>
                    </pic:cNvPicPr>
                  </pic:nvPicPr>
                  <pic:blipFill>
                    <a:blip r:embed="rId30"/>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2"/>
      </w:pPr>
      <w:bookmarkStart w:id="31" w:name="cultural-and-linguistic-diversity"/>
      <w:r>
        <w:t xml:space="preserve">Cultural and linguistic diversity</w:t>
      </w:r>
      <w:bookmarkEnd w:id="31"/>
    </w:p>
    <w:p>
      <w:pPr>
        <w:pStyle w:val="Heading3"/>
      </w:pPr>
      <w:bookmarkStart w:id="32" w:name="indigenous-population"/>
      <w:r>
        <w:t xml:space="preserve">Indigenous population</w:t>
      </w:r>
      <w:bookmarkEnd w:id="32"/>
    </w:p>
    <w:p>
      <w:pPr>
        <w:pStyle w:val="FirstParagraph"/>
      </w:pPr>
      <w:r>
        <w:t xml:space="preserve">At the 2016 Census, there were 430 residents who identified as Aboriginal and/or Torres Strait Islander people. This was 0.4 per cent of the Moonee Valley population at the time. Census data also shows other differences between the Indigenous and non-Indigenous population in Moonee Valley:</w:t>
      </w:r>
    </w:p>
    <w:p>
      <w:pPr>
        <w:pStyle w:val="Compact"/>
        <w:numPr>
          <w:numId w:val="1001"/>
          <w:ilvl w:val="0"/>
        </w:numPr>
      </w:pPr>
      <w:r>
        <w:t xml:space="preserve">a lower median age (28 years) than for the non-Indigenous population (38 years)</w:t>
      </w:r>
    </w:p>
    <w:p>
      <w:pPr>
        <w:pStyle w:val="Compact"/>
        <w:numPr>
          <w:numId w:val="1001"/>
          <w:ilvl w:val="0"/>
        </w:numPr>
      </w:pPr>
      <w:r>
        <w:t xml:space="preserve">lower Year 12 completion rate (53 per cent compared to 66 per cent)</w:t>
      </w:r>
    </w:p>
    <w:p>
      <w:pPr>
        <w:pStyle w:val="Compact"/>
        <w:numPr>
          <w:numId w:val="1001"/>
          <w:ilvl w:val="0"/>
        </w:numPr>
      </w:pPr>
      <w:r>
        <w:t xml:space="preserve">a higher proportion renting (59 per cent compared to 32 per cent)</w:t>
      </w:r>
    </w:p>
    <w:p>
      <w:pPr>
        <w:pStyle w:val="FirstParagraph"/>
      </w:pPr>
      <w:r>
        <w:drawing>
          <wp:inline>
            <wp:extent cx="4620126" cy="1848050"/>
            <wp:effectExtent b="0" l="0" r="0" t="0"/>
            <wp:docPr descr="" title="" id="1" name="Picture"/>
            <a:graphic>
              <a:graphicData uri="http://schemas.openxmlformats.org/drawingml/2006/picture">
                <pic:pic>
                  <pic:nvPicPr>
                    <pic:cNvPr descr="health_profile_doc_files/figure-docx/unnamed-chunk-10-1.png" id="0" name="Picture"/>
                    <pic:cNvPicPr>
                      <a:picLocks noChangeArrowheads="1" noChangeAspect="1"/>
                    </pic:cNvPicPr>
                  </pic:nvPicPr>
                  <pic:blipFill>
                    <a:blip r:embed="rId33"/>
                    <a:stretch>
                      <a:fillRect/>
                    </a:stretch>
                  </pic:blipFill>
                  <pic:spPr bwMode="auto">
                    <a:xfrm>
                      <a:off x="0" y="0"/>
                      <a:ext cx="4620126" cy="1848050"/>
                    </a:xfrm>
                    <a:prstGeom prst="rect">
                      <a:avLst/>
                    </a:prstGeom>
                    <a:noFill/>
                    <a:ln w="9525">
                      <a:noFill/>
                      <a:headEnd/>
                      <a:tailEnd/>
                    </a:ln>
                  </pic:spPr>
                </pic:pic>
              </a:graphicData>
            </a:graphic>
          </wp:inline>
        </w:drawing>
      </w:r>
    </w:p>
    <w:p>
      <w:r>
        <w:br w:type="page"/>
      </w:r>
    </w:p>
    <w:p>
      <w:pPr>
        <w:pStyle w:val="Heading3"/>
      </w:pPr>
      <w:bookmarkStart w:id="34" w:name="languages-spoken-at-home"/>
      <w:r>
        <w:t xml:space="preserve">Languages spoken at home</w:t>
      </w:r>
      <w:bookmarkEnd w:id="34"/>
    </w:p>
    <w:p>
      <w:pPr>
        <w:pStyle w:val="FirstParagraph"/>
      </w:pPr>
      <w:r>
        <w:t xml:space="preserve">The top languages spoken at home (other than English) by residents of the City of Moonee Valley are Italian, Greek, Vietnamese, Mandarin and Cantonese.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5941"/>
        <w:tblLook w:firstRow="1" w:lastRow="0" w:firstColumn="0" w:lastColumn="0" w:noHBand="0" w:noVBand="1"/>
      </w:tblPr>
      <w:tblGrid>
        <w:gridCol w:w="3016"/>
        <w:gridCol w:w="1389"/>
        <w:gridCol w:w="1536"/>
      </w:tblGrid>
      <w:tr>
        <w:trPr>
          <w:cantSplit/>
          <w:trHeight w:val="454"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Top languages spoken at home,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Language spoken at home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Residents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r>
      <w:tr>
        <w:trPr>
          <w:cantSplit/>
          <w:trHeight w:val="45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English</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75,216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64.5</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Italian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7,916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6.8</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Greek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Vietnamese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Mandarin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2,078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Cantonese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Arabic</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Spanish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1,208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Croatian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981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Hindi</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Maltese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Turkish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ABS, Census 2016</w:t>
            </w:r>
          </w:p>
        </w:tc>
      </w:tr>
    </w:tbl>
    <w:p>
      <w:r>
        <w:br w:type="page"/>
      </w:r>
    </w:p>
    <w:p>
      <w:pPr>
        <w:pStyle w:val="Heading3"/>
      </w:pPr>
      <w:bookmarkStart w:id="35" w:name="proficiency-in-spoken-english"/>
      <w:r>
        <w:t xml:space="preserve">Proficiency in spoken English</w:t>
      </w:r>
      <w:bookmarkEnd w:id="35"/>
    </w:p>
    <w:p>
      <w:pPr>
        <w:pStyle w:val="FirstParagraph"/>
      </w:pPr>
      <w:r>
        <w:t xml:space="preserve">Census data shows that for Moonee Valley residents, for the most common languages other than English, those who spoke Hindi, Maltese, and Turkish were the most likely to self-assess that they spoke English</w:t>
      </w:r>
      <w:r>
        <w:t xml:space="preserve"> </w:t>
      </w:r>
      <w:r>
        <w:t xml:space="preserve">‘</w:t>
      </w:r>
      <w:r>
        <w:t xml:space="preserve">Very well</w:t>
      </w:r>
      <w:r>
        <w:t xml:space="preserve">’</w:t>
      </w:r>
      <w:r>
        <w:t xml:space="preserve">.</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12-1.png" id="0" name="Picture"/>
                    <pic:cNvPicPr>
                      <a:picLocks noChangeArrowheads="1" noChangeAspect="1"/>
                    </pic:cNvPicPr>
                  </pic:nvPicPr>
                  <pic:blipFill>
                    <a:blip r:embed="rId36"/>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2"/>
      </w:pPr>
      <w:bookmarkStart w:id="37" w:name="self-reported-health"/>
      <w:r>
        <w:t xml:space="preserve">Self-reported health</w:t>
      </w:r>
      <w:bookmarkEnd w:id="37"/>
    </w:p>
    <w:p>
      <w:pPr>
        <w:pStyle w:val="FirstParagraph"/>
      </w:pPr>
      <w:r>
        <w:t xml:space="preserve">Data from the Victorian Population Health Survey 2017 shows that about 47.5 per cent of Moonee Valley residents reported either</w:t>
      </w:r>
      <w:r>
        <w:t xml:space="preserve"> </w:t>
      </w:r>
      <w:r>
        <w:t xml:space="preserve">‘</w:t>
      </w:r>
      <w:r>
        <w:t xml:space="preserve">excellent</w:t>
      </w:r>
      <w:r>
        <w:t xml:space="preserve">’</w:t>
      </w:r>
      <w:r>
        <w:t xml:space="preserve"> </w:t>
      </w:r>
      <w:r>
        <w:t xml:space="preserve">or</w:t>
      </w:r>
      <w:r>
        <w:t xml:space="preserve"> </w:t>
      </w:r>
      <w:r>
        <w:t xml:space="preserve">‘</w:t>
      </w:r>
      <w:r>
        <w:t xml:space="preserve">very good</w:t>
      </w:r>
      <w:r>
        <w:t xml:space="preserve">’</w:t>
      </w:r>
      <w:r>
        <w:t xml:space="preserve"> </w:t>
      </w:r>
      <w:r>
        <w:t xml:space="preserve">health. This compares to about 42 per cent for Victoria and the Western Melbourne Area.</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13-1.png" id="0" name="Picture"/>
                    <pic:cNvPicPr>
                      <a:picLocks noChangeArrowheads="1" noChangeAspect="1"/>
                    </pic:cNvPicPr>
                  </pic:nvPicPr>
                  <pic:blipFill>
                    <a:blip r:embed="rId38"/>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The same data shows that women in Moonee Valley were more likely to self-report higher levels of health than males.</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14-1.png" id="0" name="Picture"/>
                    <pic:cNvPicPr>
                      <a:picLocks noChangeArrowheads="1" noChangeAspect="1"/>
                    </pic:cNvPicPr>
                  </pic:nvPicPr>
                  <pic:blipFill>
                    <a:blip r:embed="rId39"/>
                    <a:stretch>
                      <a:fillRect/>
                    </a:stretch>
                  </pic:blipFill>
                  <pic:spPr bwMode="auto">
                    <a:xfrm>
                      <a:off x="0" y="0"/>
                      <a:ext cx="5727700" cy="2045607"/>
                    </a:xfrm>
                    <a:prstGeom prst="rect">
                      <a:avLst/>
                    </a:prstGeom>
                    <a:noFill/>
                    <a:ln w="9525">
                      <a:noFill/>
                      <a:headEnd/>
                      <a:tailEnd/>
                    </a:ln>
                  </pic:spPr>
                </pic:pic>
              </a:graphicData>
            </a:graphic>
          </wp:inline>
        </w:drawing>
      </w:r>
    </w:p>
    <w:p>
      <w:r>
        <w:br w:type="page"/>
      </w:r>
    </w:p>
    <w:p>
      <w:pPr>
        <w:pStyle w:val="Heading1"/>
      </w:pPr>
      <w:bookmarkStart w:id="40" w:name="environmental-factors"/>
      <w:r>
        <w:t xml:space="preserve">Environmental factors</w:t>
      </w:r>
      <w:bookmarkEnd w:id="40"/>
    </w:p>
    <w:p>
      <w:pPr>
        <w:pStyle w:val="Heading2"/>
      </w:pPr>
      <w:bookmarkStart w:id="41" w:name="socio-economic-disadvantage"/>
      <w:r>
        <w:t xml:space="preserve">Socio-economic disadvantage</w:t>
      </w:r>
      <w:bookmarkEnd w:id="41"/>
    </w:p>
    <w:p>
      <w:pPr>
        <w:pStyle w:val="FirstParagraph"/>
      </w:pPr>
      <w:r>
        <w:t xml:space="preserve">Data from the various Socio-Economic Indexes for Areas (SEIFA) indices show that overall Moonee Valley is fairly well advantaged when we compare it to other local government areas in Victoria. Scores in all indices are distributed with a national mean of 1,000 and a standard deviation of 100. Moonee Valley has an average score on the Index of Economic Resources (1,000), while it has an above average score on the Index of Education and Occupation (1,059), Index of Relative Socio-Economic Disadvantage (1,035), as well as the Index of Relative Socio-Economic Advantage and Disadvantage (1,046).</w:t>
      </w:r>
    </w:p>
    <w:p>
      <w:pPr>
        <w:pStyle w:val="BodyText"/>
      </w:pPr>
      <w:r>
        <w:drawing>
          <wp:inline>
            <wp:extent cx="5727700" cy="4091214"/>
            <wp:effectExtent b="0" l="0" r="0" t="0"/>
            <wp:docPr descr="" title="" id="1" name="Picture"/>
            <a:graphic>
              <a:graphicData uri="http://schemas.openxmlformats.org/drawingml/2006/picture">
                <pic:pic>
                  <pic:nvPicPr>
                    <pic:cNvPr descr="health_profile_doc_files/figure-docx/unnamed-chunk-16-1.png" id="0" name="Picture"/>
                    <pic:cNvPicPr>
                      <a:picLocks noChangeArrowheads="1" noChangeAspect="1"/>
                    </pic:cNvPicPr>
                  </pic:nvPicPr>
                  <pic:blipFill>
                    <a:blip r:embed="rId42"/>
                    <a:stretch>
                      <a:fillRect/>
                    </a:stretch>
                  </pic:blipFill>
                  <pic:spPr bwMode="auto">
                    <a:xfrm>
                      <a:off x="0" y="0"/>
                      <a:ext cx="5727700" cy="4091214"/>
                    </a:xfrm>
                    <a:prstGeom prst="rect">
                      <a:avLst/>
                    </a:prstGeom>
                    <a:noFill/>
                    <a:ln w="9525">
                      <a:noFill/>
                      <a:headEnd/>
                      <a:tailEnd/>
                    </a:ln>
                  </pic:spPr>
                </pic:pic>
              </a:graphicData>
            </a:graphic>
          </wp:inline>
        </w:drawing>
      </w:r>
    </w:p>
    <w:p>
      <w:pPr>
        <w:pStyle w:val="BodyText"/>
      </w:pPr>
      <w:r>
        <w:t xml:space="preserve">However, the SEIFA Index of Relative Socio-economic Disadvantage (IRSD) also shows that there is great economic diversity in Moonee Valley households. Here the scores are split in to deciles. There are pockets of disadvantage in neighbourhoods like Flemington, Ascot Vale, Avondale Heights and Milleara with many area in the most disadvantaged deciles. In contrast, Strathmore and Strathmore Heights are the least disadvantaged neighbourhoods with all of the population in the least disadvantaged deciles. Some of the areas in Flemington and Ascot vale are some of the most disadvantaged in Victoria.</w:t>
      </w:r>
    </w:p>
    <w:p>
      <w:pPr>
        <w:pStyle w:val="BodyText"/>
      </w:pPr>
      <w:r>
        <w:drawing>
          <wp:inline>
            <wp:extent cx="5727700" cy="4909457"/>
            <wp:effectExtent b="0" l="0" r="0" t="0"/>
            <wp:docPr descr="" title="" id="1" name="Picture"/>
            <a:graphic>
              <a:graphicData uri="http://schemas.openxmlformats.org/drawingml/2006/picture">
                <pic:pic>
                  <pic:nvPicPr>
                    <pic:cNvPr descr="health_profile_doc_files/figure-docx/unnamed-chunk-18-1.png" id="0" name="Picture"/>
                    <pic:cNvPicPr>
                      <a:picLocks noChangeArrowheads="1" noChangeAspect="1"/>
                    </pic:cNvPicPr>
                  </pic:nvPicPr>
                  <pic:blipFill>
                    <a:blip r:embed="rId43"/>
                    <a:stretch>
                      <a:fillRect/>
                    </a:stretch>
                  </pic:blipFill>
                  <pic:spPr bwMode="auto">
                    <a:xfrm>
                      <a:off x="0" y="0"/>
                      <a:ext cx="5727700" cy="4909457"/>
                    </a:xfrm>
                    <a:prstGeom prst="rect">
                      <a:avLst/>
                    </a:prstGeom>
                    <a:noFill/>
                    <a:ln w="9525">
                      <a:noFill/>
                      <a:headEnd/>
                      <a:tailEnd/>
                    </a:ln>
                  </pic:spPr>
                </pic:pic>
              </a:graphicData>
            </a:graphic>
          </wp:inline>
        </w:drawing>
      </w:r>
    </w:p>
    <w:p>
      <w:pPr>
        <w:pStyle w:val="BodyText"/>
      </w:pPr>
      <w:r>
        <w:t xml:space="preserve">This disparity is shown on the map below. The greatest concentrations of disadvantage are one the public housing estates in Flemington and Ascot Vale.</w:t>
      </w:r>
    </w:p>
    <w:p>
      <w:pPr>
        <w:pStyle w:val="CaptionedFigure"/>
      </w:pPr>
      <w:r>
        <w:drawing>
          <wp:inline>
            <wp:extent cx="5727700" cy="4037104"/>
            <wp:effectExtent b="0" l="0" r="0" t="0"/>
            <wp:docPr descr="SEIFA IRSD map" title="" id="1" name="Picture"/>
            <a:graphic>
              <a:graphicData uri="http://schemas.openxmlformats.org/drawingml/2006/picture">
                <pic:pic>
                  <pic:nvPicPr>
                    <pic:cNvPr descr="maps/SEIFA%20layout.png" id="0" name="Picture"/>
                    <pic:cNvPicPr>
                      <a:picLocks noChangeArrowheads="1" noChangeAspect="1"/>
                    </pic:cNvPicPr>
                  </pic:nvPicPr>
                  <pic:blipFill>
                    <a:blip r:embed="rId44"/>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SEIFA IRSD map</w:t>
      </w:r>
    </w:p>
    <w:p>
      <w:pPr>
        <w:pStyle w:val="Heading2"/>
      </w:pPr>
      <w:bookmarkStart w:id="45" w:name="heat-vulnerability-index"/>
      <w:r>
        <w:t xml:space="preserve">Heat Vulnerability Index</w:t>
      </w:r>
      <w:bookmarkEnd w:id="45"/>
    </w:p>
    <w:p>
      <w:pPr>
        <w:pStyle w:val="FirstParagraph"/>
      </w:pPr>
      <w:r>
        <w:t xml:space="preserve">The Heat Vulnerability Index measures the impact of the Urban Heat Island effect on vulnerable populations. Within Moonee Valley, the most vulnerable areas are in the east of the municipality, where there is a higher concentration of older adults.</w:t>
      </w:r>
    </w:p>
    <w:p>
      <w:pPr>
        <w:pStyle w:val="CaptionedFigure"/>
      </w:pPr>
      <w:r>
        <w:drawing>
          <wp:inline>
            <wp:extent cx="5727700" cy="4037104"/>
            <wp:effectExtent b="0" l="0" r="0" t="0"/>
            <wp:docPr descr="HVI map" title="" id="1" name="Picture"/>
            <a:graphic>
              <a:graphicData uri="http://schemas.openxmlformats.org/drawingml/2006/picture">
                <pic:pic>
                  <pic:nvPicPr>
                    <pic:cNvPr descr="maps/HVI%20layout.png" id="0" name="Picture"/>
                    <pic:cNvPicPr>
                      <a:picLocks noChangeArrowheads="1" noChangeAspect="1"/>
                    </pic:cNvPicPr>
                  </pic:nvPicPr>
                  <pic:blipFill>
                    <a:blip r:embed="rId46"/>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HVI map</w:t>
      </w:r>
    </w:p>
    <w:p>
      <w:pPr>
        <w:pStyle w:val="Heading2"/>
      </w:pPr>
      <w:bookmarkStart w:id="47" w:name="walkability"/>
      <w:r>
        <w:t xml:space="preserve">Walkability</w:t>
      </w:r>
      <w:bookmarkEnd w:id="47"/>
    </w:p>
    <w:p>
      <w:pPr>
        <w:pStyle w:val="Compact"/>
        <w:numPr>
          <w:numId w:val="1002"/>
          <w:ilvl w:val="0"/>
        </w:numPr>
      </w:pPr>
      <w:r>
        <w:t xml:space="preserve">See what Evie has done. Otherwise, just use the ones from MV2040</w:t>
      </w:r>
    </w:p>
    <w:p>
      <w:r>
        <w:br w:type="page"/>
      </w:r>
    </w:p>
    <w:p>
      <w:pPr>
        <w:pStyle w:val="Heading1"/>
      </w:pPr>
      <w:bookmarkStart w:id="48" w:name="gender-inequality"/>
      <w:r>
        <w:t xml:space="preserve">Gender inequality</w:t>
      </w:r>
      <w:bookmarkEnd w:id="48"/>
    </w:p>
    <w:p>
      <w:pPr>
        <w:pStyle w:val="Compact"/>
        <w:numPr>
          <w:numId w:val="1003"/>
          <w:ilvl w:val="0"/>
        </w:numPr>
      </w:pPr>
      <w:r>
        <w:t xml:space="preserve">also from this</w:t>
      </w:r>
      <w:r>
        <w:t xml:space="preserve"> </w:t>
      </w:r>
      <w:hyperlink r:id="rId49">
        <w:r>
          <w:rPr>
            <w:rStyle w:val="Hyperlink"/>
          </w:rPr>
          <w:t xml:space="preserve">https://victorianwomenshealthatlas.net.au/reports%2Ffactsheets%2FGender%20Equality%2FMoonee%20Valley%2FVWHAtlas%20Fact%20Sheet%20Gender%20Equality%20Moonee%20Valley.pdf</w:t>
        </w:r>
      </w:hyperlink>
    </w:p>
    <w:p>
      <w:pPr>
        <w:pStyle w:val="FirstParagraph"/>
      </w:pPr>
      <w:r>
        <w:t xml:space="preserve">Data from the 2016 Census shows that females do more unpaid work (housework), while having lower incomes and being less likely to be in the labour force. The labour force participation rate is the proportion of the population aged 15 years and over that are in the labour force (i.e. either in work, or looking for work).</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23-1.png" id="0" name="Picture"/>
                    <pic:cNvPicPr>
                      <a:picLocks noChangeArrowheads="1" noChangeAspect="1"/>
                    </pic:cNvPicPr>
                  </pic:nvPicPr>
                  <pic:blipFill>
                    <a:blip r:embed="rId50"/>
                    <a:stretch>
                      <a:fillRect/>
                    </a:stretch>
                  </pic:blipFill>
                  <pic:spPr bwMode="auto">
                    <a:xfrm>
                      <a:off x="0" y="0"/>
                      <a:ext cx="5727700" cy="2454728"/>
                    </a:xfrm>
                    <a:prstGeom prst="rect">
                      <a:avLst/>
                    </a:prstGeom>
                    <a:noFill/>
                    <a:ln w="9525">
                      <a:noFill/>
                      <a:headEnd/>
                      <a:tailEnd/>
                    </a:ln>
                  </pic:spPr>
                </pic:pic>
              </a:graphicData>
            </a:graphic>
          </wp:inline>
        </w:drawing>
      </w:r>
    </w:p>
    <w:p>
      <w:r>
        <w:br w:type="page"/>
      </w:r>
    </w:p>
    <w:p>
      <w:pPr>
        <w:pStyle w:val="Heading1"/>
      </w:pPr>
      <w:bookmarkStart w:id="51" w:name="unemployment"/>
      <w:r>
        <w:t xml:space="preserve">Unemployment</w:t>
      </w:r>
      <w:bookmarkEnd w:id="51"/>
    </w:p>
    <w:p>
      <w:pPr>
        <w:pStyle w:val="FirstParagraph"/>
      </w:pPr>
      <w:r>
        <w:t xml:space="preserve">The unemployment rate in the City of Moonee Valley has generally been lower than the rate for Greater Melbourne.</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24-1.png" id="0" name="Picture"/>
                    <pic:cNvPicPr>
                      <a:picLocks noChangeArrowheads="1" noChangeAspect="1"/>
                    </pic:cNvPicPr>
                  </pic:nvPicPr>
                  <pic:blipFill>
                    <a:blip r:embed="rId52"/>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The unemployment rate is highest in the Flemington and Ascot Vale Statistical Area Level 2 (SA2) geographical areas.</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5-1.png" id="0" name="Picture"/>
                    <pic:cNvPicPr>
                      <a:picLocks noChangeArrowheads="1" noChangeAspect="1"/>
                    </pic:cNvPicPr>
                  </pic:nvPicPr>
                  <pic:blipFill>
                    <a:blip r:embed="rId53"/>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6-1.png" id="0" name="Picture"/>
                    <pic:cNvPicPr>
                      <a:picLocks noChangeArrowheads="1" noChangeAspect="1"/>
                    </pic:cNvPicPr>
                  </pic:nvPicPr>
                  <pic:blipFill>
                    <a:blip r:embed="rId54"/>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55" w:name="affordable-housing"/>
      <w:r>
        <w:t xml:space="preserve">Affordable housing</w:t>
      </w:r>
      <w:bookmarkEnd w:id="55"/>
    </w:p>
    <w:p>
      <w:pPr>
        <w:pStyle w:val="FirstParagraph"/>
      </w:pPr>
      <w:r>
        <w:t xml:space="preserve">According to the Rental Report from the Department of Health and Human Services, there were 21 affordable lettings in Moonee Valley in June 2020. These are private rental properties (newly leased) affordable to households on statutory incomes by bedroom number. There have been fewer than 30 affordable lettings in Moonee Valley since 2015.</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7-1.png" id="0" name="Picture"/>
                    <pic:cNvPicPr>
                      <a:picLocks noChangeArrowheads="1" noChangeAspect="1"/>
                    </pic:cNvPicPr>
                  </pic:nvPicPr>
                  <pic:blipFill>
                    <a:blip r:embed="rId56"/>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57" w:name="community-safety"/>
      <w:r>
        <w:t xml:space="preserve">Community Safety</w:t>
      </w:r>
      <w:bookmarkEnd w:id="57"/>
    </w:p>
    <w:p>
      <w:pPr>
        <w:pStyle w:val="FirstParagraph"/>
      </w:pPr>
      <w:r>
        <w:t xml:space="preserve">Data from the Community Survey shows that about less than half of all residents feel safe walking alone in their local area at night. About 80 per cent feel safe at public transport stops and stations, while almost all residents feel safe when walking alone in their local area during the day.</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8-1.png" id="0" name="Picture"/>
                    <pic:cNvPicPr>
                      <a:picLocks noChangeArrowheads="1" noChangeAspect="1"/>
                    </pic:cNvPicPr>
                  </pic:nvPicPr>
                  <pic:blipFill>
                    <a:blip r:embed="rId58"/>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Perceptions of safety of walking alone in the local area at night are much lower for females than for males. There is little difference between males and females for perceptions of safety at public transport stops as well as walking alone during the day.</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9-1.png" id="0" name="Picture"/>
                    <pic:cNvPicPr>
                      <a:picLocks noChangeArrowheads="1" noChangeAspect="1"/>
                    </pic:cNvPicPr>
                  </pic:nvPicPr>
                  <pic:blipFill>
                    <a:blip r:embed="rId59"/>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60" w:name="health-workforce"/>
      <w:r>
        <w:t xml:space="preserve">Health workforce</w:t>
      </w:r>
      <w:bookmarkEnd w:id="60"/>
    </w:p>
    <w:p>
      <w:pPr>
        <w:pStyle w:val="FirstParagraph"/>
      </w:pPr>
      <w:r>
        <w:t xml:space="preserve">Data from the National Health Workforce Data Set shows that there were over 1,500 health professionals working in Moonee Valley in 2017. About one-third of these were nurses and midwives.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190"/>
        <w:tblLook w:firstRow="1" w:lastRow="0" w:firstColumn="0" w:lastColumn="0" w:noHBand="0" w:noVBand="1"/>
      </w:tblPr>
      <w:tblGrid>
        <w:gridCol w:w="3443"/>
        <w:gridCol w:w="1633"/>
        <w:gridCol w:w="3113"/>
      </w:tblGrid>
      <w:tr>
        <w:trPr>
          <w:cantSplit/>
          <w:trHeight w:val="453"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Health Workforce, Moonee Valley, 2017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3"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Profession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Practitioners per 1,000 pop.</w:t>
            </w:r>
          </w:p>
        </w:tc>
      </w:tr>
      <w:tr>
        <w:trPr>
          <w:cantSplit/>
          <w:trHeight w:val="455"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Chiropractors</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35</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Chinese Medicine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33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Dental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Medical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247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Medical Radiation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Nurses and Midwives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524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Occupational Therapists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Optometrists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21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Osteopaths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Pharmacists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106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Physiotherapists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Podiatrists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Psychologists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141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Total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12.0</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Derived from: AIHW, National Health Workforce Data Set, 2017;</w:t>
              <w:br/>
              <w:t xml:space="preserve"> ABS, Estimated Resident Population, 2017</w:t>
            </w:r>
          </w:p>
        </w:tc>
      </w:tr>
    </w:tbl>
    <w:p>
      <w:r>
        <w:br w:type="page"/>
      </w:r>
    </w:p>
    <w:p>
      <w:pPr>
        <w:pStyle w:val="Heading1"/>
      </w:pPr>
      <w:bookmarkStart w:id="61" w:name="health-status"/>
      <w:r>
        <w:t xml:space="preserve">Health Status</w:t>
      </w:r>
      <w:bookmarkEnd w:id="61"/>
    </w:p>
    <w:p>
      <w:pPr>
        <w:pStyle w:val="Heading2"/>
      </w:pPr>
      <w:bookmarkStart w:id="62" w:name="oral-health"/>
      <w:r>
        <w:t xml:space="preserve">Oral health</w:t>
      </w:r>
      <w:bookmarkEnd w:id="62"/>
    </w:p>
    <w:p>
      <w:pPr>
        <w:pStyle w:val="FirstParagraph"/>
      </w:pPr>
      <w:r>
        <w:t xml:space="preserve">Data from the Victorian Population Health Survey shows that Moonee Valley residents have better self-reported dental health, lower incidence of gum disease when compared to the Western Melbourne Area and Victoria. Moonee Valley residents are also less likely to delay visiting a dental professional because of cost when compared to Victoria.</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1-1.png" id="0" name="Picture"/>
                    <pic:cNvPicPr>
                      <a:picLocks noChangeArrowheads="1" noChangeAspect="1"/>
                    </pic:cNvPicPr>
                  </pic:nvPicPr>
                  <pic:blipFill>
                    <a:blip r:embed="rId63"/>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Data from Dental Health Services Victoria shows that children in Moonee Valley are also less likely to present at public health dental services with a decayed tooth when compared to Victoria at all age groups.</w:t>
      </w:r>
    </w:p>
    <w:p>
      <w:pPr>
        <w:pStyle w:val="BodyText"/>
      </w:pPr>
      <w:r>
        <w:drawing>
          <wp:inline>
            <wp:extent cx="5544151" cy="2772075"/>
            <wp:effectExtent b="0" l="0" r="0" t="0"/>
            <wp:docPr descr="" title="" id="1" name="Picture"/>
            <a:graphic>
              <a:graphicData uri="http://schemas.openxmlformats.org/drawingml/2006/picture">
                <pic:pic>
                  <pic:nvPicPr>
                    <pic:cNvPr descr="health_profile_doc_files/figure-docx/unnamed-chunk-32-1.png" id="0" name="Picture"/>
                    <pic:cNvPicPr>
                      <a:picLocks noChangeArrowheads="1" noChangeAspect="1"/>
                    </pic:cNvPicPr>
                  </pic:nvPicPr>
                  <pic:blipFill>
                    <a:blip r:embed="rId64"/>
                    <a:stretch>
                      <a:fillRect/>
                    </a:stretch>
                  </pic:blipFill>
                  <pic:spPr bwMode="auto">
                    <a:xfrm>
                      <a:off x="0" y="0"/>
                      <a:ext cx="5544151" cy="2772075"/>
                    </a:xfrm>
                    <a:prstGeom prst="rect">
                      <a:avLst/>
                    </a:prstGeom>
                    <a:noFill/>
                    <a:ln w="9525">
                      <a:noFill/>
                      <a:headEnd/>
                      <a:tailEnd/>
                    </a:ln>
                  </pic:spPr>
                </pic:pic>
              </a:graphicData>
            </a:graphic>
          </wp:inline>
        </w:drawing>
      </w:r>
    </w:p>
    <w:p>
      <w:pPr>
        <w:pStyle w:val="Heading2"/>
      </w:pPr>
      <w:bookmarkStart w:id="65" w:name="healthy-eating-and-food-security"/>
      <w:r>
        <w:t xml:space="preserve">Healthy eating and food security</w:t>
      </w:r>
      <w:bookmarkEnd w:id="65"/>
    </w:p>
    <w:p>
      <w:pPr>
        <w:pStyle w:val="Compact"/>
        <w:numPr>
          <w:numId w:val="1004"/>
          <w:ilvl w:val="0"/>
        </w:numPr>
      </w:pPr>
      <w:r>
        <w:t xml:space="preserve">map of fast food/supermarkets?</w:t>
      </w:r>
    </w:p>
    <w:p>
      <w:pPr>
        <w:pStyle w:val="FirstParagraph"/>
      </w:pPr>
      <w:r>
        <w:t xml:space="preserve">Data from the Victorian Population Health Survey shows that about 3.2 per cent of Moonee Valley residents met the fruit and vegetable consumption guidelines, though the margin of error for this indicator is large.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3-1.png" id="0" name="Picture"/>
                    <pic:cNvPicPr>
                      <a:picLocks noChangeArrowheads="1" noChangeAspect="1"/>
                    </pic:cNvPicPr>
                  </pic:nvPicPr>
                  <pic:blipFill>
                    <a:blip r:embed="rId66"/>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2"/>
      </w:pPr>
      <w:bookmarkStart w:id="67" w:name="chronic-disease"/>
      <w:r>
        <w:t xml:space="preserve">Chronic disease</w:t>
      </w:r>
      <w:bookmarkEnd w:id="67"/>
    </w:p>
    <w:p>
      <w:pPr>
        <w:pStyle w:val="Compact"/>
        <w:numPr>
          <w:numId w:val="1005"/>
          <w:ilvl w:val="0"/>
        </w:numPr>
      </w:pPr>
      <w:r>
        <w:t xml:space="preserve">add more here</w:t>
      </w:r>
    </w:p>
    <w:p>
      <w:pPr>
        <w:pStyle w:val="Compact"/>
        <w:numPr>
          <w:numId w:val="1005"/>
          <w:ilvl w:val="0"/>
        </w:numPr>
      </w:pPr>
      <w:r>
        <w:t xml:space="preserve">cancer from here</w:t>
      </w:r>
      <w:r>
        <w:t xml:space="preserve"> </w:t>
      </w:r>
      <w:hyperlink r:id="rId68">
        <w:r>
          <w:rPr>
            <w:rStyle w:val="Hyperlink"/>
          </w:rPr>
          <w:t xml:space="preserve">https://victorianwomenshealthatlas.net.au/reports%2Ffactsheets%2FCancer%2FMoonee%20Valley%2FVWHAtlas%20Fact%20Sheet%20Cancer%20Moonee%20Valley.pdf</w:t>
        </w:r>
      </w:hyperlink>
    </w:p>
    <w:p>
      <w:pPr>
        <w:pStyle w:val="Compact"/>
        <w:numPr>
          <w:numId w:val="1005"/>
          <w:ilvl w:val="0"/>
        </w:numPr>
      </w:pPr>
      <w:r>
        <w:t xml:space="preserve">ahpc data - diabetes and other things?</w:t>
      </w:r>
    </w:p>
    <w:p>
      <w:pPr>
        <w:pStyle w:val="Heading3"/>
      </w:pPr>
      <w:bookmarkStart w:id="69" w:name="tests-for-chronic-disease"/>
      <w:r>
        <w:t xml:space="preserve">Tests for chronic disease</w:t>
      </w:r>
      <w:bookmarkEnd w:id="69"/>
    </w:p>
    <w:p>
      <w:pPr>
        <w:pStyle w:val="FirstParagraph"/>
      </w:pPr>
      <w:r>
        <w:t xml:space="preserve">Data from the Victorian Population Health Survey 2017 shows that testing for chronic disease in Moonee Valley is similar to levels in Western Melbourne. Bowel examinations are lower, and faecal blood occult tests are higher than for Western Melbourne, but these differences are not statistically significant.</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34-1.png" id="0" name="Picture"/>
                    <pic:cNvPicPr>
                      <a:picLocks noChangeArrowheads="1" noChangeAspect="1"/>
                    </pic:cNvPicPr>
                  </pic:nvPicPr>
                  <pic:blipFill>
                    <a:blip r:embed="rId70"/>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Data on testing for bowel disease from the Australian Institute of Health and Wellbeing shows that testing for bowel disesae has increased in all SA2 over the last few years.</w:t>
      </w:r>
    </w:p>
    <w:p>
      <w:pPr>
        <w:pStyle w:val="BodyText"/>
      </w:pPr>
      <w:r>
        <w:drawing>
          <wp:inline>
            <wp:extent cx="5727700" cy="4091214"/>
            <wp:effectExtent b="0" l="0" r="0" t="0"/>
            <wp:docPr descr="" title="" id="1" name="Picture"/>
            <a:graphic>
              <a:graphicData uri="http://schemas.openxmlformats.org/drawingml/2006/picture">
                <pic:pic>
                  <pic:nvPicPr>
                    <pic:cNvPr descr="health_profile_doc_files/figure-docx/unnamed-chunk-35-1.png" id="0" name="Picture"/>
                    <pic:cNvPicPr>
                      <a:picLocks noChangeArrowheads="1" noChangeAspect="1"/>
                    </pic:cNvPicPr>
                  </pic:nvPicPr>
                  <pic:blipFill>
                    <a:blip r:embed="rId71"/>
                    <a:stretch>
                      <a:fillRect/>
                    </a:stretch>
                  </pic:blipFill>
                  <pic:spPr bwMode="auto">
                    <a:xfrm>
                      <a:off x="0" y="0"/>
                      <a:ext cx="5727700" cy="4091214"/>
                    </a:xfrm>
                    <a:prstGeom prst="rect">
                      <a:avLst/>
                    </a:prstGeom>
                    <a:noFill/>
                    <a:ln w="9525">
                      <a:noFill/>
                      <a:headEnd/>
                      <a:tailEnd/>
                    </a:ln>
                  </pic:spPr>
                </pic:pic>
              </a:graphicData>
            </a:graphic>
          </wp:inline>
        </w:drawing>
      </w:r>
    </w:p>
    <w:p>
      <w:pPr>
        <w:pStyle w:val="Heading2"/>
      </w:pPr>
      <w:bookmarkStart w:id="72" w:name="modifiable-risk-factors"/>
      <w:r>
        <w:t xml:space="preserve">Modifiable risk factors</w:t>
      </w:r>
      <w:bookmarkEnd w:id="72"/>
    </w:p>
    <w:p>
      <w:pPr>
        <w:pStyle w:val="Heading3"/>
      </w:pPr>
      <w:bookmarkStart w:id="73" w:name="smoking"/>
      <w:r>
        <w:t xml:space="preserve">Smoking</w:t>
      </w:r>
      <w:bookmarkEnd w:id="73"/>
    </w:p>
    <w:p>
      <w:pPr>
        <w:pStyle w:val="FirstParagraph"/>
      </w:pPr>
      <w:r>
        <w:t xml:space="preserve">Data from the Victorian Population Health Survey 2017 shows that smoking levels in Moonee Valley are similar to those in Western Melbourne and Victoria. About 15 per cent of the population are current smokers.</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6-1.png" id="0" name="Picture"/>
                    <pic:cNvPicPr>
                      <a:picLocks noChangeArrowheads="1" noChangeAspect="1"/>
                    </pic:cNvPicPr>
                  </pic:nvPicPr>
                  <pic:blipFill>
                    <a:blip r:embed="rId74"/>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Smoking levels are higher for men, than for women, though again the confidence interval is quite large.</w:t>
      </w:r>
    </w:p>
    <w:p>
      <w:pPr>
        <w:pStyle w:val="BodyText"/>
      </w:pPr>
      <w:r>
        <w:drawing>
          <wp:inline>
            <wp:extent cx="5727700" cy="1636485"/>
            <wp:effectExtent b="0" l="0" r="0" t="0"/>
            <wp:docPr descr="" title="" id="1" name="Picture"/>
            <a:graphic>
              <a:graphicData uri="http://schemas.openxmlformats.org/drawingml/2006/picture">
                <pic:pic>
                  <pic:nvPicPr>
                    <pic:cNvPr descr="health_profile_doc_files/figure-docx/unnamed-chunk-37-1.png" id="0" name="Picture"/>
                    <pic:cNvPicPr>
                      <a:picLocks noChangeArrowheads="1" noChangeAspect="1"/>
                    </pic:cNvPicPr>
                  </pic:nvPicPr>
                  <pic:blipFill>
                    <a:blip r:embed="rId75"/>
                    <a:stretch>
                      <a:fillRect/>
                    </a:stretch>
                  </pic:blipFill>
                  <pic:spPr bwMode="auto">
                    <a:xfrm>
                      <a:off x="0" y="0"/>
                      <a:ext cx="5727700" cy="1636485"/>
                    </a:xfrm>
                    <a:prstGeom prst="rect">
                      <a:avLst/>
                    </a:prstGeom>
                    <a:noFill/>
                    <a:ln w="9525">
                      <a:noFill/>
                      <a:headEnd/>
                      <a:tailEnd/>
                    </a:ln>
                  </pic:spPr>
                </pic:pic>
              </a:graphicData>
            </a:graphic>
          </wp:inline>
        </w:drawing>
      </w:r>
    </w:p>
    <w:p>
      <w:pPr>
        <w:pStyle w:val="Heading3"/>
      </w:pPr>
      <w:bookmarkStart w:id="76" w:name="alcohol"/>
      <w:r>
        <w:t xml:space="preserve">Alcohol</w:t>
      </w:r>
      <w:bookmarkEnd w:id="76"/>
    </w:p>
    <w:p>
      <w:pPr>
        <w:pStyle w:val="FirstParagraph"/>
      </w:pPr>
      <w:r>
        <w:t xml:space="preserve">Data from the Victorian Population Health Survey 2017 shows that Moonee Valley residents are more likely to have increased alcohol related harm when compared to Western Melbourne and Victoria. This is for both lifetime risk of alcohol-related harm, as well as for alcohol related harm from a single occasion of drinking.</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8-1.png" id="0" name="Picture"/>
                    <pic:cNvPicPr>
                      <a:picLocks noChangeArrowheads="1" noChangeAspect="1"/>
                    </pic:cNvPicPr>
                  </pic:nvPicPr>
                  <pic:blipFill>
                    <a:blip r:embed="rId77"/>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On and off licence alcohol outlets are generally distributed in the activity centres in Moonee Valley. These are generally in the east of the city.</w:t>
      </w:r>
    </w:p>
    <w:p>
      <w:pPr>
        <w:pStyle w:val="CaptionedFigure"/>
      </w:pPr>
      <w:r>
        <w:drawing>
          <wp:inline>
            <wp:extent cx="5727700" cy="4037104"/>
            <wp:effectExtent b="0" l="0" r="0" t="0"/>
            <wp:docPr descr="Alcohol venues map" title="" id="1" name="Picture"/>
            <a:graphic>
              <a:graphicData uri="http://schemas.openxmlformats.org/drawingml/2006/picture">
                <pic:pic>
                  <pic:nvPicPr>
                    <pic:cNvPr descr="maps/Alcohol%20map%20layout.png" id="0" name="Picture"/>
                    <pic:cNvPicPr>
                      <a:picLocks noChangeArrowheads="1" noChangeAspect="1"/>
                    </pic:cNvPicPr>
                  </pic:nvPicPr>
                  <pic:blipFill>
                    <a:blip r:embed="rId78"/>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Alcohol venues map</w:t>
      </w:r>
    </w:p>
    <w:p>
      <w:pPr>
        <w:pStyle w:val="BodyText"/>
      </w:pPr>
      <w:r>
        <w:t xml:space="preserve">Data from Turning Point shows that there were over 600 alcohol related hospital admissions for Moonee Valley residents in 2018-19. The majority of these were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9-1.png" id="0" name="Picture"/>
                    <pic:cNvPicPr>
                      <a:picLocks noChangeArrowheads="1" noChangeAspect="1"/>
                    </pic:cNvPicPr>
                  </pic:nvPicPr>
                  <pic:blipFill>
                    <a:blip r:embed="rId79"/>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Moonee valley has a higher rate of alcohol related hospitalisations than many other local government areas in the North West region, but it is not the highest.</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40-1.png" id="0" name="Picture"/>
                    <pic:cNvPicPr>
                      <a:picLocks noChangeArrowheads="1" noChangeAspect="1"/>
                    </pic:cNvPicPr>
                  </pic:nvPicPr>
                  <pic:blipFill>
                    <a:blip r:embed="rId80"/>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3"/>
      </w:pPr>
      <w:bookmarkStart w:id="81" w:name="drugs"/>
      <w:r>
        <w:t xml:space="preserve">Drugs</w:t>
      </w:r>
      <w:bookmarkEnd w:id="81"/>
    </w:p>
    <w:p>
      <w:pPr>
        <w:pStyle w:val="FirstParagraph"/>
      </w:pPr>
      <w:r>
        <w:t xml:space="preserve">Data from Turning Point shows that there were over 300 illicit drugs related hospital admissions for Moonee Valley residents in 2018-19. The majority of these were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42-1.png" id="0" name="Picture"/>
                    <pic:cNvPicPr>
                      <a:picLocks noChangeArrowheads="1" noChangeAspect="1"/>
                    </pic:cNvPicPr>
                  </pic:nvPicPr>
                  <pic:blipFill>
                    <a:blip r:embed="rId82"/>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Moonee valley has a higher rate of illicit drugs related hospitalisations than many other local government areas in the North West region, but it is not the highest.</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43-1.png" id="0" name="Picture"/>
                    <pic:cNvPicPr>
                      <a:picLocks noChangeArrowheads="1" noChangeAspect="1"/>
                    </pic:cNvPicPr>
                  </pic:nvPicPr>
                  <pic:blipFill>
                    <a:blip r:embed="rId83"/>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3"/>
      </w:pPr>
      <w:bookmarkStart w:id="84" w:name="gambling"/>
      <w:r>
        <w:t xml:space="preserve">Gambling</w:t>
      </w:r>
      <w:bookmarkEnd w:id="84"/>
    </w:p>
    <w:p>
      <w:pPr>
        <w:pStyle w:val="FirstParagraph"/>
      </w:pPr>
      <w:r>
        <w:t xml:space="preserve">Data from the Victorian Responsible Gambling Foundation shows that over $77.6 million was spent on pokies in Moonee Valley in 2018-19.</w:t>
      </w:r>
    </w:p>
    <w:p>
      <w:pPr>
        <w:pStyle w:val="CaptionedFigure"/>
      </w:pPr>
      <w:r>
        <w:drawing>
          <wp:inline>
            <wp:extent cx="5727700" cy="4905563"/>
            <wp:effectExtent b="0" l="0" r="0" t="0"/>
            <wp:docPr descr="pokies chart" title="" id="1" name="Picture"/>
            <a:graphic>
              <a:graphicData uri="http://schemas.openxmlformats.org/drawingml/2006/picture">
                <pic:pic>
                  <pic:nvPicPr>
                    <pic:cNvPr descr="images/gambling-in-victoria-moonee-valley.png" id="0" name="Picture"/>
                    <pic:cNvPicPr>
                      <a:picLocks noChangeArrowheads="1" noChangeAspect="1"/>
                    </pic:cNvPicPr>
                  </pic:nvPicPr>
                  <pic:blipFill>
                    <a:blip r:embed="rId85"/>
                    <a:stretch>
                      <a:fillRect/>
                    </a:stretch>
                  </pic:blipFill>
                  <pic:spPr bwMode="auto">
                    <a:xfrm>
                      <a:off x="0" y="0"/>
                      <a:ext cx="5727700" cy="4905563"/>
                    </a:xfrm>
                    <a:prstGeom prst="rect">
                      <a:avLst/>
                    </a:prstGeom>
                    <a:noFill/>
                    <a:ln w="9525">
                      <a:noFill/>
                      <a:headEnd/>
                      <a:tailEnd/>
                    </a:ln>
                  </pic:spPr>
                </pic:pic>
              </a:graphicData>
            </a:graphic>
          </wp:inline>
        </w:drawing>
      </w:r>
    </w:p>
    <w:p>
      <w:pPr>
        <w:pStyle w:val="ImageCaption"/>
      </w:pPr>
      <w:r>
        <w:t xml:space="preserve">pokies chart</w:t>
      </w:r>
    </w:p>
    <w:p>
      <w:pPr>
        <w:pStyle w:val="BodyText"/>
      </w:pPr>
      <w:r>
        <w:t xml:space="preserve">In a usual year, almost $80 million is lost at pokies in venues in the City of Moonee Valley. This of course has been reduced as pokies venues have been closed temporarily due to COVID-19.</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44-1.png" id="0" name="Picture"/>
                    <pic:cNvPicPr>
                      <a:picLocks noChangeArrowheads="1" noChangeAspect="1"/>
                    </pic:cNvPicPr>
                  </pic:nvPicPr>
                  <pic:blipFill>
                    <a:blip r:embed="rId86"/>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Nearly $19 million was lost at the Skyways Taverner in the year to 30 June 2019, one of the highest in Victoria.</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45-1.png" id="0" name="Picture"/>
                    <pic:cNvPicPr>
                      <a:picLocks noChangeArrowheads="1" noChangeAspect="1"/>
                    </pic:cNvPicPr>
                  </pic:nvPicPr>
                  <pic:blipFill>
                    <a:blip r:embed="rId87"/>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When looking at the distribution of Electronic Gaming Machines in Moonee Valley, we can see that they are concentrated in the east of the municipality.</w:t>
      </w:r>
    </w:p>
    <w:p>
      <w:pPr>
        <w:pStyle w:val="CaptionedFigure"/>
      </w:pPr>
      <w:r>
        <w:drawing>
          <wp:inline>
            <wp:extent cx="5727700" cy="4037104"/>
            <wp:effectExtent b="0" l="0" r="0" t="0"/>
            <wp:docPr descr="Pokies venues map" title="" id="1" name="Picture"/>
            <a:graphic>
              <a:graphicData uri="http://schemas.openxmlformats.org/drawingml/2006/picture">
                <pic:pic>
                  <pic:nvPicPr>
                    <pic:cNvPr descr="maps/EGM%20map%20layout.png" id="0" name="Picture"/>
                    <pic:cNvPicPr>
                      <a:picLocks noChangeArrowheads="1" noChangeAspect="1"/>
                    </pic:cNvPicPr>
                  </pic:nvPicPr>
                  <pic:blipFill>
                    <a:blip r:embed="rId88"/>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Pokies venues map</w:t>
      </w:r>
    </w:p>
    <w:p>
      <w:pPr>
        <w:pStyle w:val="Heading3"/>
      </w:pPr>
      <w:bookmarkStart w:id="89" w:name="obesity"/>
      <w:r>
        <w:t xml:space="preserve">Obesity</w:t>
      </w:r>
      <w:bookmarkEnd w:id="89"/>
    </w:p>
    <w:p>
      <w:pPr>
        <w:pStyle w:val="FirstParagraph"/>
      </w:pPr>
      <w:r>
        <w:t xml:space="preserve">Data from the Victorian Population Health Survey 2017 shows that the proportion of residents who are overweight is similar to the proportion in the Western Melbourne Area.</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6-1.png" id="0" name="Picture"/>
                    <pic:cNvPicPr>
                      <a:picLocks noChangeArrowheads="1" noChangeAspect="1"/>
                    </pic:cNvPicPr>
                  </pic:nvPicPr>
                  <pic:blipFill>
                    <a:blip r:embed="rId90"/>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Residents in Moonee Valley have lower consumption of sugar-sweetened beverages though; 6.4 per cent of residents consume these drinks daily.</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7-1.png" id="0" name="Picture"/>
                    <pic:cNvPicPr>
                      <a:picLocks noChangeArrowheads="1" noChangeAspect="1"/>
                    </pic:cNvPicPr>
                  </pic:nvPicPr>
                  <pic:blipFill>
                    <a:blip r:embed="rId91"/>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3"/>
      </w:pPr>
      <w:bookmarkStart w:id="92" w:name="physical-activity"/>
      <w:r>
        <w:t xml:space="preserve">Physical activity</w:t>
      </w:r>
      <w:bookmarkEnd w:id="92"/>
    </w:p>
    <w:p>
      <w:pPr>
        <w:pStyle w:val="FirstParagraph"/>
      </w:pPr>
      <w:r>
        <w:t xml:space="preserve">Data from the Victorian Population Health Survey 2017 shows that about 58 per cent of Moonee Valley residents complied with the physical activity, compared to 48.5 per cent in the Western Melbourne Area. About 30 per cent of residents spent 7 or more hours sitting on an average weekday.</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8-1.png" id="0" name="Picture"/>
                    <pic:cNvPicPr>
                      <a:picLocks noChangeArrowheads="1" noChangeAspect="1"/>
                    </pic:cNvPicPr>
                  </pic:nvPicPr>
                  <pic:blipFill>
                    <a:blip r:embed="rId93"/>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3"/>
      </w:pPr>
      <w:bookmarkStart w:id="94" w:name="mental-health"/>
      <w:r>
        <w:t xml:space="preserve">Mental health</w:t>
      </w:r>
      <w:bookmarkEnd w:id="94"/>
    </w:p>
    <w:p>
      <w:pPr>
        <w:pStyle w:val="Compact"/>
        <w:numPr>
          <w:numId w:val="1006"/>
          <w:ilvl w:val="0"/>
        </w:numPr>
      </w:pPr>
      <w:r>
        <w:t xml:space="preserve">more from here:</w:t>
      </w:r>
      <w:r>
        <w:t xml:space="preserve"> </w:t>
      </w:r>
      <w:hyperlink r:id="rId95">
        <w:r>
          <w:rPr>
            <w:rStyle w:val="Hyperlink"/>
          </w:rPr>
          <w:t xml:space="preserve">https://victorianwomenshealthatlas.net.au/reports%2Ffactsheets%2FMental%20Health%2FMoonee%20Valley%2FVWHAtlas%20Fact%20Sheet%20Mental%20Health%20Moonee%20Valley.pdf</w:t>
        </w:r>
      </w:hyperlink>
    </w:p>
    <w:p>
      <w:pPr>
        <w:pStyle w:val="FirstParagraph"/>
      </w:pPr>
      <w:r>
        <w:t xml:space="preserve">Data from the Victorian Population Health Survey 2017 shows that about three in ten residents rated their life satisfaction and their feeling of life being worthwhile as</w:t>
      </w:r>
      <w:r>
        <w:t xml:space="preserve"> </w:t>
      </w:r>
      <w:r>
        <w:t xml:space="preserve">‘</w:t>
      </w:r>
      <w:r>
        <w:t xml:space="preserve">very high</w:t>
      </w:r>
      <w:r>
        <w:t xml:space="preserve">’</w:t>
      </w:r>
      <w:r>
        <w:t xml:space="preserv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9-1.png" id="0" name="Picture"/>
                    <pic:cNvPicPr>
                      <a:picLocks noChangeArrowheads="1" noChangeAspect="1"/>
                    </pic:cNvPicPr>
                  </pic:nvPicPr>
                  <pic:blipFill>
                    <a:blip r:embed="rId96"/>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Data from the Victorian Population Health Survey 2017 shows that about 30 per cent of Moonee Valley residents had ever been diagnosed with anxiety of depression. This compares with 25 per cent for Western Melbourne.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50-1.png" id="0" name="Picture"/>
                    <pic:cNvPicPr>
                      <a:picLocks noChangeArrowheads="1" noChangeAspect="1"/>
                    </pic:cNvPicPr>
                  </pic:nvPicPr>
                  <pic:blipFill>
                    <a:blip r:embed="rId97"/>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Females in Moonee Valley were more likely to seek professional help for mental health problems than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51-1.png" id="0" name="Picture"/>
                    <pic:cNvPicPr>
                      <a:picLocks noChangeArrowheads="1" noChangeAspect="1"/>
                    </pic:cNvPicPr>
                  </pic:nvPicPr>
                  <pic:blipFill>
                    <a:blip r:embed="rId98"/>
                    <a:stretch>
                      <a:fillRect/>
                    </a:stretch>
                  </pic:blipFill>
                  <pic:spPr bwMode="auto">
                    <a:xfrm>
                      <a:off x="0" y="0"/>
                      <a:ext cx="5727700" cy="2454728"/>
                    </a:xfrm>
                    <a:prstGeom prst="rect">
                      <a:avLst/>
                    </a:prstGeom>
                    <a:noFill/>
                    <a:ln w="9525">
                      <a:noFill/>
                      <a:headEnd/>
                      <a:tailEnd/>
                    </a:ln>
                  </pic:spPr>
                </pic:pic>
              </a:graphicData>
            </a:graphic>
          </wp:inline>
        </w:drawing>
      </w:r>
    </w:p>
    <w:p>
      <w:r>
        <w:br w:type="page"/>
      </w:r>
    </w:p>
    <w:p>
      <w:pPr>
        <w:pStyle w:val="Heading1"/>
      </w:pPr>
      <w:bookmarkStart w:id="99" w:name="sexual-and-reporductive-health"/>
      <w:r>
        <w:t xml:space="preserve">Sexual and reporductive health</w:t>
      </w:r>
      <w:bookmarkEnd w:id="99"/>
    </w:p>
    <w:p>
      <w:pPr>
        <w:pStyle w:val="FirstParagraph"/>
      </w:pPr>
      <w:r>
        <w:t xml:space="preserve">Rates of chlamydia, gonorrhoea, and hepatitis B are lower in Moonee Valley than for the Metro West region, and are lower for females than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53-1.png" id="0" name="Picture"/>
                    <pic:cNvPicPr>
                      <a:picLocks noChangeArrowheads="1" noChangeAspect="1"/>
                    </pic:cNvPicPr>
                  </pic:nvPicPr>
                  <pic:blipFill>
                    <a:blip r:embed="rId100"/>
                    <a:stretch>
                      <a:fillRect/>
                    </a:stretch>
                  </pic:blipFill>
                  <pic:spPr bwMode="auto">
                    <a:xfrm>
                      <a:off x="0" y="0"/>
                      <a:ext cx="5727700" cy="2454728"/>
                    </a:xfrm>
                    <a:prstGeom prst="rect">
                      <a:avLst/>
                    </a:prstGeom>
                    <a:noFill/>
                    <a:ln w="9525">
                      <a:noFill/>
                      <a:headEnd/>
                      <a:tailEnd/>
                    </a:ln>
                  </pic:spPr>
                </pic:pic>
              </a:graphicData>
            </a:graphic>
          </wp:inline>
        </w:drawing>
      </w:r>
    </w:p>
    <w:p>
      <w:r>
        <w:br w:type="page"/>
      </w:r>
    </w:p>
    <w:p>
      <w:pPr>
        <w:pStyle w:val="Heading1"/>
      </w:pPr>
      <w:bookmarkStart w:id="101" w:name="family-violence"/>
      <w:r>
        <w:t xml:space="preserve">Family violence</w:t>
      </w:r>
      <w:bookmarkEnd w:id="101"/>
    </w:p>
    <w:p>
      <w:pPr>
        <w:pStyle w:val="Compact"/>
        <w:numPr>
          <w:numId w:val="1007"/>
          <w:ilvl w:val="0"/>
        </w:numPr>
      </w:pPr>
      <w:r>
        <w:t xml:space="preserve">and more from here:</w:t>
      </w:r>
      <w:r>
        <w:t xml:space="preserve"> </w:t>
      </w:r>
      <w:hyperlink r:id="rId102">
        <w:r>
          <w:rPr>
            <w:rStyle w:val="Hyperlink"/>
          </w:rPr>
          <w:t xml:space="preserve">https://victorianwomenshealthatlas.net.au/reports%2Ffactsheets%2FViolence%20Against%20Women%2FMoonee%20Valley%2FVWHAtlas%20Fact%20Sheet%20Violence%20Against%20Women%20Moonee%20Valley.pdf</w:t>
        </w:r>
      </w:hyperlink>
    </w:p>
    <w:p>
      <w:pPr>
        <w:pStyle w:val="FirstParagraph"/>
      </w:pPr>
      <w:r>
        <w:t xml:space="preserve">Data from the Crime Statistics Agency shows that family violence rates in Moonee Valley are lower when compared with the municipalities in the North West Metro region.</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55-1.png" id="0" name="Picture"/>
                    <pic:cNvPicPr>
                      <a:picLocks noChangeArrowheads="1" noChangeAspect="1"/>
                    </pic:cNvPicPr>
                  </pic:nvPicPr>
                  <pic:blipFill>
                    <a:blip r:embed="rId103"/>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104" w:name="births"/>
      <w:r>
        <w:t xml:space="preserve">Births</w:t>
      </w:r>
      <w:bookmarkEnd w:id="104"/>
    </w:p>
    <w:p>
      <w:pPr>
        <w:pStyle w:val="FirstParagraph"/>
      </w:pPr>
      <w:r>
        <w:t xml:space="preserve">Data from Moonee Valley’s Maternal Child and Health (MCH) team show that there were 1,487 births in the municipality in the 2019-20 financial year. This is higher than in 2018-19, but lower than in earlier years. The highest number of births are recorded at the Strathmore and Milleara Integrated Learning and Development Centre (MILD) Maternal and Child Health centres.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237"/>
        <w:tblLook w:firstRow="1" w:lastRow="0" w:firstColumn="0" w:lastColumn="0" w:noHBand="0" w:noVBand="1"/>
      </w:tblPr>
      <w:tblGrid>
        <w:gridCol w:w="2147"/>
        <w:gridCol w:w="1218"/>
        <w:gridCol w:w="1218"/>
        <w:gridCol w:w="1218"/>
        <w:gridCol w:w="1218"/>
        <w:gridCol w:w="1218"/>
      </w:tblGrid>
      <w:tr>
        <w:trPr>
          <w:cantSplit/>
          <w:trHeight w:val="414" w:hRule="auto"/>
          <w:tblHeader/>
        </w:trPr>
        <w:tc>
          <w:tcPr>
            <w:gridSpan w:val="6"/>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Births by Maternal Child Health Centre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1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MCH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2015-16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2016-17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2017-18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2018-19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2019-20</w:t>
            </w:r>
          </w:p>
        </w:tc>
      </w:tr>
      <w:tr>
        <w:trPr>
          <w:cantSplit/>
          <w:trHeight w:val="413"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Aberfeldie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111</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91</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99</w:t>
            </w:r>
          </w:p>
        </w:tc>
      </w:tr>
      <w:tr>
        <w:trPr>
          <w:cantSplit/>
          <w:trHeight w:val="45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Airport West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130</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Ascot Vale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150</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Avondale Heights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134</w:t>
            </w:r>
          </w:p>
        </w:tc>
      </w:tr>
      <w:tr>
        <w:trPr>
          <w:cantSplit/>
          <w:trHeight w:val="45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Hopetoun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MILD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230</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Montgomery Park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129</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Shuter Street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139</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Strathmore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233</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Wingate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91</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Total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1559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1450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1487</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Moonee Valley City Council, 2020</w:t>
            </w:r>
          </w:p>
        </w:tc>
      </w:tr>
    </w:tbl>
    <w:p>
      <w:pPr>
        <w:pStyle w:val="BodyText"/>
      </w:pPr>
      <w:r>
        <w:t xml:space="preserve"> </w:t>
      </w:r>
    </w:p>
    <w:p>
      <w:pPr>
        <w:pStyle w:val="BodyText"/>
      </w:pPr>
      <w:r>
        <w:t xml:space="preserve">The teenage birth rate in Moonee Valley is lower than the rate for the Metro West region. The rate was 1.83 per 1,000 population compared to 7.6 per 1,000.</w:t>
      </w:r>
    </w:p>
    <w:p>
      <w:pPr>
        <w:pStyle w:val="BodyText"/>
      </w:pPr>
      <w:r>
        <w:drawing>
          <wp:inline>
            <wp:extent cx="5727700" cy="1636485"/>
            <wp:effectExtent b="0" l="0" r="0" t="0"/>
            <wp:docPr descr="" title="" id="1" name="Picture"/>
            <a:graphic>
              <a:graphicData uri="http://schemas.openxmlformats.org/drawingml/2006/picture">
                <pic:pic>
                  <pic:nvPicPr>
                    <pic:cNvPr descr="health_profile_doc_files/figure-docx/unnamed-chunk-57-1.png" id="0" name="Picture"/>
                    <pic:cNvPicPr>
                      <a:picLocks noChangeArrowheads="1" noChangeAspect="1"/>
                    </pic:cNvPicPr>
                  </pic:nvPicPr>
                  <pic:blipFill>
                    <a:blip r:embed="rId105"/>
                    <a:stretch>
                      <a:fillRect/>
                    </a:stretch>
                  </pic:blipFill>
                  <pic:spPr bwMode="auto">
                    <a:xfrm>
                      <a:off x="0" y="0"/>
                      <a:ext cx="5727700" cy="1636485"/>
                    </a:xfrm>
                    <a:prstGeom prst="rect">
                      <a:avLst/>
                    </a:prstGeom>
                    <a:noFill/>
                    <a:ln w="9525">
                      <a:noFill/>
                      <a:headEnd/>
                      <a:tailEnd/>
                    </a:ln>
                  </pic:spPr>
                </pic:pic>
              </a:graphicData>
            </a:graphic>
          </wp:inline>
        </w:drawing>
      </w:r>
    </w:p>
    <w:p>
      <w:pPr>
        <w:pStyle w:val="Heading1"/>
      </w:pPr>
      <w:bookmarkStart w:id="106" w:name="early-childhood-development"/>
      <w:r>
        <w:t xml:space="preserve">Early childhood development</w:t>
      </w:r>
      <w:bookmarkEnd w:id="106"/>
    </w:p>
    <w:p>
      <w:pPr>
        <w:pStyle w:val="FirstParagraph"/>
      </w:pPr>
      <w:r>
        <w:t xml:space="preserve">Data from the Australian Early Development Census shows that about seven per cent of children were developmentally vulnerable in two or more domains in 2018. This was lower than the figure in 2015. There seems to be a lot of variation in the data at the SA2 level.</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59-1.png" id="0" name="Picture"/>
                    <pic:cNvPicPr>
                      <a:picLocks noChangeArrowheads="1" noChangeAspect="1"/>
                    </pic:cNvPicPr>
                  </pic:nvPicPr>
                  <pic:blipFill>
                    <a:blip r:embed="rId107"/>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108" w:name="aged-care"/>
      <w:r>
        <w:t xml:space="preserve">Aged care</w:t>
      </w:r>
      <w:bookmarkEnd w:id="108"/>
    </w:p>
    <w:p>
      <w:pPr>
        <w:pStyle w:val="FirstParagraph"/>
      </w:pPr>
      <w:r>
        <w:t xml:space="preserve">Data from the Australian Institute of Health and Wellbeing shows that in June 2019, there were 1,168 residential aged care places in the City of Moonee Valley. The majority of aged care facilities in Moonee Valley are not-for profit facilities or private facilities.</w:t>
      </w:r>
    </w:p>
    <w:p>
      <w:pPr>
        <w:pStyle w:val="BodyText"/>
      </w:pPr>
      <w:r>
        <w:drawing>
          <wp:inline>
            <wp:extent cx="5727700" cy="4091214"/>
            <wp:effectExtent b="0" l="0" r="0" t="0"/>
            <wp:docPr descr="" title="" id="1" name="Picture"/>
            <a:graphic>
              <a:graphicData uri="http://schemas.openxmlformats.org/drawingml/2006/picture">
                <pic:pic>
                  <pic:nvPicPr>
                    <pic:cNvPr descr="health_profile_doc_files/figure-docx/unnamed-chunk-60-1.png" id="0" name="Picture"/>
                    <pic:cNvPicPr>
                      <a:picLocks noChangeArrowheads="1" noChangeAspect="1"/>
                    </pic:cNvPicPr>
                  </pic:nvPicPr>
                  <pic:blipFill>
                    <a:blip r:embed="rId109"/>
                    <a:stretch>
                      <a:fillRect/>
                    </a:stretch>
                  </pic:blipFill>
                  <pic:spPr bwMode="auto">
                    <a:xfrm>
                      <a:off x="0" y="0"/>
                      <a:ext cx="5727700" cy="4091214"/>
                    </a:xfrm>
                    <a:prstGeom prst="rect">
                      <a:avLst/>
                    </a:prstGeom>
                    <a:noFill/>
                    <a:ln w="9525">
                      <a:noFill/>
                      <a:headEnd/>
                      <a:tailEnd/>
                    </a:ln>
                  </pic:spPr>
                </pic:pic>
              </a:graphicData>
            </a:graphic>
          </wp:inline>
        </w:drawing>
      </w:r>
    </w:p>
    <w:p>
      <w:pPr>
        <w:pStyle w:val="BodyText"/>
      </w:pPr>
      <w:r>
        <w:t xml:space="preserve">There is one government facility (Cyril Jewell House) in Keilor East.</w:t>
      </w:r>
    </w:p>
    <w:p>
      <w:pPr>
        <w:pStyle w:val="CaptionedFigure"/>
      </w:pPr>
      <w:r>
        <w:drawing>
          <wp:inline>
            <wp:extent cx="5727700" cy="4037104"/>
            <wp:effectExtent b="0" l="0" r="0" t="0"/>
            <wp:docPr descr="Aged care map" title="" id="1" name="Picture"/>
            <a:graphic>
              <a:graphicData uri="http://schemas.openxmlformats.org/drawingml/2006/picture">
                <pic:pic>
                  <pic:nvPicPr>
                    <pic:cNvPr descr="maps/Aged%20care%20layout.png" id="0" name="Picture"/>
                    <pic:cNvPicPr>
                      <a:picLocks noChangeArrowheads="1" noChangeAspect="1"/>
                    </pic:cNvPicPr>
                  </pic:nvPicPr>
                  <pic:blipFill>
                    <a:blip r:embed="rId110"/>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Aged care map</w:t>
      </w:r>
    </w:p>
    <w:p>
      <w:pPr>
        <w:pStyle w:val="Heading2"/>
      </w:pPr>
      <w:bookmarkStart w:id="111" w:name="death"/>
      <w:r>
        <w:t xml:space="preserve">Death</w:t>
      </w:r>
      <w:bookmarkEnd w:id="111"/>
    </w:p>
    <w:p>
      <w:pPr>
        <w:pStyle w:val="Heading3"/>
      </w:pPr>
      <w:bookmarkStart w:id="112" w:name="premature-deaths"/>
      <w:r>
        <w:t xml:space="preserve">Premature deaths</w:t>
      </w:r>
      <w:bookmarkEnd w:id="112"/>
    </w:p>
    <w:p>
      <w:pPr>
        <w:pStyle w:val="FirstParagraph"/>
      </w:pPr>
      <w:r>
        <w:t xml:space="preserve">Premature deaths in Moonee Valley declined between 2014 and 2018. There were 142.8 premature deaths per 100,000 in Moonee Valley in 2018, compared to 160.5 for Greater Melbourne.</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62-1.png" id="0" name="Picture"/>
                    <pic:cNvPicPr>
                      <a:picLocks noChangeArrowheads="1" noChangeAspect="1"/>
                    </pic:cNvPicPr>
                  </pic:nvPicPr>
                  <pic:blipFill>
                    <a:blip r:embed="rId113"/>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3"/>
      </w:pPr>
      <w:bookmarkStart w:id="114" w:name="top-causes-of-death"/>
      <w:r>
        <w:t xml:space="preserve">Top causes of death</w:t>
      </w:r>
      <w:bookmarkEnd w:id="114"/>
    </w:p>
    <w:p>
      <w:pPr>
        <w:pStyle w:val="FirstParagraph"/>
      </w:pPr>
      <w:r>
        <w:t xml:space="preserve">The most common causes of death in 2018 were Coronary heart disease, responsible for 289 deaths.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823"/>
        <w:tblLook w:firstRow="1" w:lastRow="0" w:firstColumn="0" w:lastColumn="0" w:noHBand="0" w:noVBand="1"/>
      </w:tblPr>
      <w:tblGrid>
        <w:gridCol w:w="4201"/>
        <w:gridCol w:w="1108"/>
        <w:gridCol w:w="2514"/>
      </w:tblGrid>
      <w:tr>
        <w:trPr>
          <w:cantSplit/>
          <w:trHeight w:val="414"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Top ten causes of death in Moonee Valley, 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1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Cause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Deaths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 cent of all causes</w:t>
            </w:r>
          </w:p>
        </w:tc>
      </w:tr>
      <w:tr>
        <w:trPr>
          <w:cantSplit/>
          <w:trHeight w:val="457"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Coronary heart disease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489</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12.8</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Dementia including Alzheimer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7.7</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Cerebrovascular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Lung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Chronic obstructive pulmonary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Colorectal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Diabetes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3.2</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Accidental falls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Influenza and pneumonia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Prostate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AIHW, Mortality over Regions and Time, 2020</w:t>
            </w:r>
          </w:p>
        </w:tc>
      </w:tr>
    </w:tbl>
    <w:p>
      <w:r>
        <w:br w:type="page"/>
      </w:r>
    </w:p>
    <w:p>
      <w:pPr>
        <w:pStyle w:val="Heading1"/>
      </w:pPr>
      <w:bookmarkStart w:id="115" w:name="references"/>
      <w:r>
        <w:t xml:space="preserve">References</w:t>
      </w:r>
      <w:bookmarkEnd w:id="115"/>
    </w:p>
    <w:p>
      <w:pPr>
        <w:pStyle w:val="FirstParagraph"/>
      </w:pPr>
      <w:r>
        <w:t xml:space="preserve">Australian Bureau of Statistics, 2016,</w:t>
      </w:r>
      <w:r>
        <w:t xml:space="preserve"> </w:t>
      </w:r>
      <w:r>
        <w:rPr>
          <w:i/>
        </w:rPr>
        <w:t xml:space="preserve">Census of Population and Housing, 2016</w:t>
      </w:r>
      <w:r>
        <w:t xml:space="preserve">, Australian Government, Canberra.</w:t>
      </w:r>
    </w:p>
    <w:p>
      <w:pPr>
        <w:pStyle w:val="BodyText"/>
      </w:pPr>
      <w:r>
        <w:t xml:space="preserve">Australian Bureau of Statistics, 2020,</w:t>
      </w:r>
      <w:r>
        <w:t xml:space="preserve"> </w:t>
      </w:r>
      <w:r>
        <w:t xml:space="preserve">‘</w:t>
      </w:r>
      <w:r>
        <w:t xml:space="preserve">Weekly Payroll Jobs and Wages in Australia</w:t>
      </w:r>
      <w:r>
        <w:t xml:space="preserve">’</w:t>
      </w:r>
      <w:r>
        <w:t xml:space="preserve">, 7 October, Australian Government, Canberra.</w:t>
      </w:r>
      <w:r>
        <w:t xml:space="preserve"> </w:t>
      </w:r>
      <w:hyperlink r:id="rId116">
        <w:r>
          <w:rPr>
            <w:rStyle w:val="Hyperlink"/>
          </w:rPr>
          <w:t xml:space="preserve">https://www.abs.gov.au/statistics/labour/earnings-and-work-hours/weekly-payroll-jobs-and-wages-australia/latest-release</w:t>
        </w:r>
      </w:hyperlink>
      <w:r>
        <w:t xml:space="preserve">, accessed 7 October 2019.</w:t>
      </w:r>
    </w:p>
    <w:p>
      <w:pPr>
        <w:pStyle w:val="BodyText"/>
      </w:pPr>
      <w:r>
        <w:t xml:space="preserve">Australian Early Development Census, 2019,</w:t>
      </w:r>
      <w:r>
        <w:t xml:space="preserve"> </w:t>
      </w:r>
      <w:r>
        <w:t xml:space="preserve">‘</w:t>
      </w:r>
      <w:r>
        <w:t xml:space="preserve">Additional Data Products</w:t>
      </w:r>
      <w:r>
        <w:t xml:space="preserve">’</w:t>
      </w:r>
      <w:r>
        <w:t xml:space="preserve">, Australian Government, Canberra,</w:t>
      </w:r>
      <w:r>
        <w:t xml:space="preserve"> </w:t>
      </w:r>
      <w:hyperlink r:id="rId117">
        <w:r>
          <w:rPr>
            <w:rStyle w:val="Hyperlink"/>
          </w:rPr>
          <w:t xml:space="preserve">https://www.aedc.gov.au/data/downloads</w:t>
        </w:r>
      </w:hyperlink>
      <w:r>
        <w:t xml:space="preserve">, accessed 22 September 2019.</w:t>
      </w:r>
    </w:p>
    <w:p>
      <w:pPr>
        <w:pStyle w:val="BodyText"/>
      </w:pPr>
      <w:r>
        <w:t xml:space="preserve">Australian Institute of Health and Wellbeing, 2020,</w:t>
      </w:r>
      <w:r>
        <w:t xml:space="preserve"> </w:t>
      </w:r>
      <w:r>
        <w:t xml:space="preserve">‘</w:t>
      </w:r>
      <w:r>
        <w:t xml:space="preserve">Aged Care Service List</w:t>
      </w:r>
      <w:r>
        <w:t xml:space="preserve">’</w:t>
      </w:r>
      <w:r>
        <w:t xml:space="preserve">, Department of Health, Australian Government, Canberra,</w:t>
      </w:r>
      <w:r>
        <w:t xml:space="preserve"> </w:t>
      </w:r>
      <w:hyperlink r:id="rId118">
        <w:r>
          <w:rPr>
            <w:rStyle w:val="Hyperlink"/>
          </w:rPr>
          <w:t xml:space="preserve">https://hwd.health.gov.au/datatool.html</w:t>
        </w:r>
      </w:hyperlink>
      <w:r>
        <w:t xml:space="preserve">, accessed 22 September 2020.</w:t>
      </w:r>
    </w:p>
    <w:p>
      <w:pPr>
        <w:pStyle w:val="BodyText"/>
      </w:pPr>
      <w:r>
        <w:t xml:space="preserve">Australian Institute of Health and Wellbeing, 2020,</w:t>
      </w:r>
      <w:r>
        <w:t xml:space="preserve"> </w:t>
      </w:r>
      <w:r>
        <w:t xml:space="preserve">‘</w:t>
      </w:r>
      <w:r>
        <w:t xml:space="preserve">Mortality Over Regions and Time</w:t>
      </w:r>
      <w:r>
        <w:t xml:space="preserve">’</w:t>
      </w:r>
      <w:r>
        <w:t xml:space="preserve">, Department of Health, Australian Government, Canberra,</w:t>
      </w:r>
      <w:r>
        <w:t xml:space="preserve"> </w:t>
      </w:r>
      <w:hyperlink r:id="rId119">
        <w:r>
          <w:rPr>
            <w:rStyle w:val="Hyperlink"/>
          </w:rPr>
          <w:t xml:space="preserve">https://www.aihw.gov.au/reports/life-expectancy-death/mort-books/contents/mort-books</w:t>
        </w:r>
      </w:hyperlink>
      <w:r>
        <w:t xml:space="preserve">, accessed 22 September 2020.</w:t>
      </w:r>
    </w:p>
    <w:p>
      <w:pPr>
        <w:pStyle w:val="BodyText"/>
      </w:pPr>
      <w:r>
        <w:t xml:space="preserve">Australian Institute of Health and Wellbeing, 2020,</w:t>
      </w:r>
      <w:r>
        <w:t xml:space="preserve"> </w:t>
      </w:r>
      <w:r>
        <w:t xml:space="preserve">‘</w:t>
      </w:r>
      <w:r>
        <w:t xml:space="preserve">National Health Workforce Data Set</w:t>
      </w:r>
      <w:r>
        <w:t xml:space="preserve">’</w:t>
      </w:r>
      <w:r>
        <w:t xml:space="preserve">, Department of Health, Australian Government, Canberra,</w:t>
      </w:r>
      <w:r>
        <w:t xml:space="preserve"> </w:t>
      </w:r>
      <w:hyperlink r:id="rId120">
        <w:r>
          <w:rPr>
            <w:rStyle w:val="Hyperlink"/>
          </w:rPr>
          <w:t xml:space="preserve">https://www.gen-agedcaredata.gov.au/resources/access-data/2019/september/aged-care-service-list-30-june-2019</w:t>
        </w:r>
      </w:hyperlink>
      <w:r>
        <w:t xml:space="preserve">, accessed 22 September 2020.</w:t>
      </w:r>
    </w:p>
    <w:p>
      <w:pPr>
        <w:pStyle w:val="BodyText"/>
      </w:pPr>
      <w:r>
        <w:t xml:space="preserve">Australian Institute of Health and Wellbeing, 2020,</w:t>
      </w:r>
      <w:r>
        <w:t xml:space="preserve"> </w:t>
      </w:r>
      <w:r>
        <w:t xml:space="preserve">‘</w:t>
      </w:r>
      <w:r>
        <w:t xml:space="preserve">National cancer screening programs participation data</w:t>
      </w:r>
      <w:r>
        <w:t xml:space="preserve">’</w:t>
      </w:r>
      <w:r>
        <w:t xml:space="preserve">, Department of Health, Australian Government, Canberra,</w:t>
      </w:r>
      <w:r>
        <w:t xml:space="preserve"> </w:t>
      </w:r>
      <w:hyperlink r:id="rId121">
        <w:r>
          <w:rPr>
            <w:rStyle w:val="Hyperlink"/>
          </w:rPr>
          <w:t xml:space="preserve">https://www.aihw.gov.au/reports/cancer-screening/national-cancer-screening-programs-participation/contents/summary</w:t>
        </w:r>
      </w:hyperlink>
      <w:r>
        <w:t xml:space="preserve">, accessed 22 September 2020.</w:t>
      </w:r>
    </w:p>
    <w:p>
      <w:pPr>
        <w:pStyle w:val="BodyText"/>
      </w:pPr>
      <w:r>
        <w:t xml:space="preserve">Crime Statistics Agency, 2020,</w:t>
      </w:r>
      <w:r>
        <w:t xml:space="preserve"> </w:t>
      </w:r>
      <w:r>
        <w:t xml:space="preserve">‘</w:t>
      </w:r>
      <w:r>
        <w:t xml:space="preserve">Latest Victorian Crime Data</w:t>
      </w:r>
      <w:r>
        <w:t xml:space="preserve">’</w:t>
      </w:r>
      <w:r>
        <w:t xml:space="preserve">, Victorian Government, Melbourne,</w:t>
      </w:r>
      <w:r>
        <w:t xml:space="preserve"> </w:t>
      </w:r>
      <w:hyperlink r:id="rId122">
        <w:r>
          <w:rPr>
            <w:rStyle w:val="Hyperlink"/>
          </w:rPr>
          <w:t xml:space="preserve">https://www.crimestatistics.vic.gov.au/crime-statistics/latest-victorian-crime-data</w:t>
        </w:r>
      </w:hyperlink>
      <w:r>
        <w:t xml:space="preserve">, accessed 22 September 2020.</w:t>
      </w:r>
    </w:p>
    <w:p>
      <w:pPr>
        <w:pStyle w:val="BodyText"/>
      </w:pPr>
      <w:r>
        <w:t xml:space="preserve">Department of Education, Skills and Employment, 2020,</w:t>
      </w:r>
      <w:r>
        <w:t xml:space="preserve"> </w:t>
      </w:r>
      <w:r>
        <w:t xml:space="preserve">‘</w:t>
      </w:r>
      <w:r>
        <w:t xml:space="preserve">Small Area Labour Markets</w:t>
      </w:r>
      <w:r>
        <w:t xml:space="preserve">’</w:t>
      </w:r>
      <w:r>
        <w:t xml:space="preserve">, Australian Government, Canberra,</w:t>
      </w:r>
      <w:r>
        <w:t xml:space="preserve"> </w:t>
      </w:r>
      <w:hyperlink r:id="rId123">
        <w:r>
          <w:rPr>
            <w:rStyle w:val="Hyperlink"/>
          </w:rPr>
          <w:t xml:space="preserve">https://www.employment.gov.au/small-area-labour-markets-publication-0</w:t>
        </w:r>
      </w:hyperlink>
      <w:r>
        <w:t xml:space="preserve">, accessed 22 September 2020.</w:t>
      </w:r>
    </w:p>
    <w:p>
      <w:pPr>
        <w:pStyle w:val="BodyText"/>
      </w:pPr>
      <w:r>
        <w:t xml:space="preserve">Department of Environment, Land, Water and Planning, 2020,</w:t>
      </w:r>
      <w:r>
        <w:t xml:space="preserve"> </w:t>
      </w:r>
      <w:r>
        <w:rPr>
          <w:i/>
        </w:rPr>
        <w:t xml:space="preserve">Heat Vulnerabilty Index</w:t>
      </w:r>
      <w:r>
        <w:t xml:space="preserve">, Victorian Government, Melbourne.</w:t>
      </w:r>
    </w:p>
    <w:p>
      <w:pPr>
        <w:pStyle w:val="BodyText"/>
      </w:pPr>
      <w:r>
        <w:t xml:space="preserve">Dental Health Services Victoria, 2020,</w:t>
      </w:r>
      <w:r>
        <w:t xml:space="preserve"> </w:t>
      </w:r>
      <w:r>
        <w:rPr>
          <w:i/>
        </w:rPr>
        <w:t xml:space="preserve">City of Moonee Valley Oral Health Profile</w:t>
      </w:r>
      <w:r>
        <w:t xml:space="preserve">, Department of Health and Human Services, Victorian Government, Melbourne.</w:t>
      </w:r>
    </w:p>
    <w:p>
      <w:pPr>
        <w:pStyle w:val="BodyText"/>
      </w:pPr>
      <w:r>
        <w:t xml:space="preserve">Department of Health and Human Services, 2020,</w:t>
      </w:r>
      <w:r>
        <w:t xml:space="preserve"> </w:t>
      </w:r>
      <w:r>
        <w:t xml:space="preserve">‘</w:t>
      </w:r>
      <w:r>
        <w:t xml:space="preserve">Rental Report</w:t>
      </w:r>
      <w:r>
        <w:t xml:space="preserve">’</w:t>
      </w:r>
      <w:r>
        <w:t xml:space="preserve">, Victorian Government, Melbourne,</w:t>
      </w:r>
      <w:r>
        <w:t xml:space="preserve"> </w:t>
      </w:r>
      <w:hyperlink r:id="rId124">
        <w:r>
          <w:rPr>
            <w:rStyle w:val="Hyperlink"/>
          </w:rPr>
          <w:t xml:space="preserve">https://www.dhhs.vic.gov.au/publications/rental-report</w:t>
        </w:r>
      </w:hyperlink>
      <w:r>
        <w:t xml:space="preserve">, accessed 22 September 2020.</w:t>
      </w:r>
    </w:p>
    <w:p>
      <w:pPr>
        <w:pStyle w:val="BodyText"/>
      </w:pPr>
      <w:r>
        <w:t xml:space="preserve">Department of Health and Human Services, 2017,</w:t>
      </w:r>
      <w:r>
        <w:t xml:space="preserve"> </w:t>
      </w:r>
      <w:r>
        <w:rPr>
          <w:i/>
        </w:rPr>
        <w:t xml:space="preserve">Victorian Population Health Survey 2017</w:t>
      </w:r>
      <w:r>
        <w:t xml:space="preserve">, Victorian Government, Melbourne.</w:t>
      </w:r>
    </w:p>
    <w:p>
      <w:pPr>
        <w:pStyle w:val="BodyText"/>
      </w:pPr>
      <w:r>
        <w:t xml:space="preserve">.id consulting,</w:t>
      </w:r>
      <w:r>
        <w:t xml:space="preserve"> </w:t>
      </w:r>
      <w:r>
        <w:rPr>
          <w:i/>
        </w:rPr>
        <w:t xml:space="preserve">Moonee Valley Population Forecasts</w:t>
      </w:r>
      <w:r>
        <w:t xml:space="preserve">, December 2017.</w:t>
      </w:r>
    </w:p>
    <w:p>
      <w:pPr>
        <w:pStyle w:val="BodyText"/>
      </w:pPr>
      <w:r>
        <w:t xml:space="preserve">Moonee Valley City Council, 2020,</w:t>
      </w:r>
      <w:r>
        <w:t xml:space="preserve"> </w:t>
      </w:r>
      <w:r>
        <w:rPr>
          <w:i/>
        </w:rPr>
        <w:t xml:space="preserve">Moonee Valley Community Survey</w:t>
      </w:r>
      <w:r>
        <w:t xml:space="preserve">, MVCC, Moonee Ponds.</w:t>
      </w:r>
    </w:p>
    <w:p>
      <w:pPr>
        <w:pStyle w:val="BodyText"/>
      </w:pPr>
      <w:r>
        <w:t xml:space="preserve">Turning Point, 2020,</w:t>
      </w:r>
      <w:r>
        <w:t xml:space="preserve"> </w:t>
      </w:r>
      <w:r>
        <w:t xml:space="preserve">‘</w:t>
      </w:r>
      <w:r>
        <w:t xml:space="preserve">AODStats</w:t>
      </w:r>
      <w:r>
        <w:t xml:space="preserve">’</w:t>
      </w:r>
      <w:r>
        <w:t xml:space="preserve">, Eastern Health,</w:t>
      </w:r>
      <w:r>
        <w:t xml:space="preserve"> </w:t>
      </w:r>
      <w:hyperlink r:id="rId125">
        <w:r>
          <w:rPr>
            <w:rStyle w:val="Hyperlink"/>
          </w:rPr>
          <w:t xml:space="preserve">https://aodstats.org.au/index.php</w:t>
        </w:r>
      </w:hyperlink>
      <w:r>
        <w:t xml:space="preserve">, accessed 22 September 2020.</w:t>
      </w:r>
    </w:p>
    <w:p>
      <w:pPr>
        <w:pStyle w:val="BodyText"/>
      </w:pPr>
      <w:r>
        <w:t xml:space="preserve">Victorian Commission for Gambling and Liquor Regulation,</w:t>
      </w:r>
      <w:r>
        <w:t xml:space="preserve"> </w:t>
      </w:r>
      <w:r>
        <w:t xml:space="preserve">‘</w:t>
      </w:r>
      <w:r>
        <w:t xml:space="preserve">Gambling data</w:t>
      </w:r>
      <w:r>
        <w:t xml:space="preserve">’</w:t>
      </w:r>
      <w:r>
        <w:t xml:space="preserve">, Victorian Government, Melbourne,</w:t>
      </w:r>
      <w:r>
        <w:t xml:space="preserve"> </w:t>
      </w:r>
      <w:hyperlink r:id="rId126">
        <w:r>
          <w:rPr>
            <w:rStyle w:val="Hyperlink"/>
          </w:rPr>
          <w:t xml:space="preserve">https://www.vcglr.vic.gov.au/gambling-data</w:t>
        </w:r>
      </w:hyperlink>
      <w:r>
        <w:t xml:space="preserve">, accessed 22 September 2020.</w:t>
      </w:r>
    </w:p>
    <w:p>
      <w:pPr>
        <w:pStyle w:val="BodyText"/>
      </w:pPr>
      <w:r>
        <w:t xml:space="preserve">Victorian Commission for Gambling and Liquor Regulation,</w:t>
      </w:r>
      <w:r>
        <w:t xml:space="preserve"> </w:t>
      </w:r>
      <w:r>
        <w:t xml:space="preserve">‘</w:t>
      </w:r>
      <w:r>
        <w:t xml:space="preserve">Liquor data</w:t>
      </w:r>
      <w:r>
        <w:t xml:space="preserve">’</w:t>
      </w:r>
      <w:r>
        <w:t xml:space="preserve">, Victorian Government, Melbourne,</w:t>
      </w:r>
      <w:r>
        <w:t xml:space="preserve"> </w:t>
      </w:r>
      <w:hyperlink r:id="rId127">
        <w:r>
          <w:rPr>
            <w:rStyle w:val="Hyperlink"/>
          </w:rPr>
          <w:t xml:space="preserve">https://www.vcglr.vic.gov.au/liquor-data</w:t>
        </w:r>
      </w:hyperlink>
      <w:r>
        <w:t xml:space="preserve">, accessed 22 September 2020.</w:t>
      </w:r>
    </w:p>
    <w:p>
      <w:pPr>
        <w:pStyle w:val="BodyText"/>
      </w:pPr>
      <w:r>
        <w:t xml:space="preserve">Victorian Responsible Gambling Foundation, 2020,</w:t>
      </w:r>
      <w:r>
        <w:t xml:space="preserve"> </w:t>
      </w:r>
      <w:r>
        <w:t xml:space="preserve">‘</w:t>
      </w:r>
      <w:r>
        <w:t xml:space="preserve">Pokies across Victoria</w:t>
      </w:r>
      <w:r>
        <w:t xml:space="preserve">’</w:t>
      </w:r>
      <w:r>
        <w:t xml:space="preserve">, Victorian Government, Melbourne,</w:t>
      </w:r>
      <w:r>
        <w:t xml:space="preserve"> </w:t>
      </w:r>
      <w:hyperlink r:id="rId128">
        <w:r>
          <w:rPr>
            <w:rStyle w:val="Hyperlink"/>
          </w:rPr>
          <w:t xml:space="preserve">https://responsiblegambling.vic.gov.au/resources/gambling-victoria/pokies-across-victoria/moonee-valley/</w:t>
        </w:r>
      </w:hyperlink>
      <w:r>
        <w:t xml:space="preserve">, accessed 22 September 2020.</w:t>
      </w:r>
    </w:p>
    <w:p>
      <w:pPr>
        <w:pStyle w:val="BodyText"/>
      </w:pPr>
      <w:r>
        <w:t xml:space="preserve">Women’s Health West, 2019,</w:t>
      </w:r>
      <w:r>
        <w:t xml:space="preserve"> </w:t>
      </w:r>
      <w:r>
        <w:t xml:space="preserve">‘</w:t>
      </w:r>
      <w:r>
        <w:t xml:space="preserve">Women’s Health Atlas</w:t>
      </w:r>
      <w:r>
        <w:t xml:space="preserve">’</w:t>
      </w:r>
      <w:r>
        <w:t xml:space="preserve">,</w:t>
      </w:r>
      <w:r>
        <w:t xml:space="preserve"> </w:t>
      </w:r>
      <w:hyperlink r:id="rId129">
        <w:r>
          <w:rPr>
            <w:rStyle w:val="Hyperlink"/>
          </w:rPr>
          <w:t xml:space="preserve">https://victorianwomenshealthatlas.net.au</w:t>
        </w:r>
      </w:hyperlink>
      <w:r>
        <w:t xml:space="preserve">, accessed 22 September 2020.</w:t>
      </w:r>
    </w:p>
    <w:p>
      <w:r>
        <w:br w:type="page"/>
      </w:r>
    </w:p>
    <w:p>
      <w:pPr>
        <w:pStyle w:val="Heading1"/>
      </w:pPr>
      <w:bookmarkStart w:id="130" w:name="appendices"/>
      <w:r>
        <w:t xml:space="preserve">Appendices</w:t>
      </w:r>
      <w:bookmarkEnd w:id="130"/>
    </w:p>
    <w:p>
      <w:pPr>
        <w:pStyle w:val="Heading2"/>
      </w:pPr>
      <w:bookmarkStart w:id="131" w:name="X7c8046dbba798b723dc2c6164b556230d8e1812"/>
      <w:r>
        <w:t xml:space="preserve">Victorian Population Health Survey 2017 data, comparison against other local government areas</w:t>
      </w:r>
      <w:bookmarkEnd w:id="131"/>
    </w:p>
    <w:p>
      <w:pPr>
        <w:pStyle w:val="FirstParagraph"/>
      </w:pPr>
      <w:r>
        <w:drawing>
          <wp:inline>
            <wp:extent cx="5727700" cy="5727700"/>
            <wp:effectExtent b="0" l="0" r="0" t="0"/>
            <wp:docPr descr="" title="" id="1" name="Picture"/>
            <a:graphic>
              <a:graphicData uri="http://schemas.openxmlformats.org/drawingml/2006/picture">
                <pic:pic>
                  <pic:nvPicPr>
                    <pic:cNvPr descr="health_profile_doc_files/figure-docx/unnamed-chunk-65-1.png" id="0" name="Picture"/>
                    <pic:cNvPicPr>
                      <a:picLocks noChangeArrowheads="1" noChangeAspect="1"/>
                    </pic:cNvPicPr>
                  </pic:nvPicPr>
                  <pic:blipFill>
                    <a:blip r:embed="rId132"/>
                    <a:stretch>
                      <a:fillRect/>
                    </a:stretch>
                  </pic:blipFill>
                  <pic:spPr bwMode="auto">
                    <a:xfrm>
                      <a:off x="0" y="0"/>
                      <a:ext cx="5727700" cy="5727700"/>
                    </a:xfrm>
                    <a:prstGeom prst="rect">
                      <a:avLst/>
                    </a:prstGeom>
                    <a:noFill/>
                    <a:ln w="9525">
                      <a:noFill/>
                      <a:headEnd/>
                      <a:tailEnd/>
                    </a:ln>
                  </pic:spPr>
                </pic:pic>
              </a:graphicData>
            </a:graphic>
          </wp:inline>
        </w:drawing>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628"/>
        <w:tblLook w:firstRow="1" w:lastRow="0" w:firstColumn="0" w:lastColumn="0" w:noHBand="0" w:noVBand="1"/>
      </w:tblPr>
      <w:tblGrid>
        <w:gridCol w:w="5168"/>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Modifiable risk factors,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1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Obese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16.8</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Overweight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Daily consumer of sugar sweetened soft drinks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9.4</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Take away food consumed &gt;1 day/week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Sedentary (inactive)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Insufficiently physically active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Complied with vegetable consumption guidelines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Complied with fruit consumption guidelines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53.4</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Daily smoker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13.6</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Current (i.e. daily or occasional smoker)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20.7</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Increased lifetime risk of alcohol related harm</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58.5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Incr. risk of injury from a single occ. of drinking</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46.6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52.7</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Fair or poor self reported health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22.5</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Low or medium life satisfaction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25.6</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High or very high levels of psychological distress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17.1</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Doctor diagnosed hypertension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28.3</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805"/>
        <w:tblLook w:firstRow="1" w:lastRow="0" w:firstColumn="0" w:lastColumn="0" w:noHBand="0" w:noVBand="1"/>
      </w:tblPr>
      <w:tblGrid>
        <w:gridCol w:w="3345"/>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Doctor diagnosed chronic disease,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5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Anxiety or depression</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30.4</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36.4</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Arthritis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18.5</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Asthma ever diagnosed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26.7</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10.7</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Type 2 diabetes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Heart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9.0</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Osteoporosis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6.5</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Stroke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3.7</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Two or more chronic diseases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27.6</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p>
      <w:pPr>
        <w:pStyle w:val="BodyText"/>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859"/>
        <w:tblLook w:firstRow="1" w:lastRow="0" w:firstColumn="0" w:lastColumn="0" w:noHBand="0" w:noVBand="1"/>
      </w:tblPr>
      <w:tblGrid>
        <w:gridCol w:w="5399"/>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Screening tests and treatment,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55"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lipids test in last 2 years</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55.6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50.0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pressure test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78.2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82.9</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glucose test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faecal occult blood test 50 years of 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69.1</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bowel exam to detect cancer last 5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48.1</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mammogram to detect cancer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89.7</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sectPr w:rsidR="007E773D" w:rsidRPr="007E773D">
      <w:footerReference w:type="default" r:id="rId9"/>
      <w:pgSz w:w="11906" w:h="16838"/>
      <w:pgMar w:top="1440" w:right="1440" w:bottom="1440" w:left="144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960179"/>
      <w:docPartObj>
        <w:docPartGallery w:val="Page Numbers (Bottom of Page)"/>
        <w:docPartUnique/>
      </w:docPartObj>
    </w:sdtPr>
    <w:sdtEndPr>
      <w:rPr>
        <w:noProof/>
      </w:rPr>
    </w:sdtEndPr>
    <w:sdtContent>
      <w:p w14:paraId="5E582498" w14:textId="470CFFD0" w:rsidR="005944C6" w:rsidRDefault="005944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9B16A3" w14:textId="6E948A40" w:rsidR="005944C6" w:rsidRDefault="005944C6">
    <w:pPr>
      <w:pStyle w:val="Footer"/>
    </w:pPr>
    <w:r>
      <w:t>Moonee Valley Health Profile 2020</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366B"/>
    <w:pPr>
      <w:keepNext/>
      <w:keepLines/>
      <w:spacing w:before="240" w:after="0"/>
      <w:outlineLvl w:val="0"/>
    </w:pPr>
    <w:rPr>
      <w:rFonts w:ascii="Calibri" w:eastAsiaTheme="majorEastAsia" w:hAnsi="Calibri" w:cs="Calibri"/>
      <w:b/>
      <w:color w:val="E65149"/>
      <w:sz w:val="36"/>
      <w:szCs w:val="32"/>
    </w:rPr>
  </w:style>
  <w:style w:type="paragraph" w:styleId="Heading2">
    <w:name w:val="heading 2"/>
    <w:basedOn w:val="Normal"/>
    <w:next w:val="Normal"/>
    <w:link w:val="Heading2Char"/>
    <w:uiPriority w:val="9"/>
    <w:unhideWhenUsed/>
    <w:qFormat/>
    <w:rsid w:val="00BA366B"/>
    <w:pPr>
      <w:keepNext/>
      <w:keepLines/>
      <w:spacing w:before="40" w:after="0"/>
      <w:outlineLvl w:val="1"/>
    </w:pPr>
    <w:rPr>
      <w:rFonts w:ascii="Calibri" w:eastAsiaTheme="majorEastAsia" w:hAnsi="Calibri" w:cs="Calibri"/>
      <w:b/>
      <w:color w:val="E65149"/>
      <w:sz w:val="28"/>
      <w:szCs w:val="26"/>
    </w:rPr>
  </w:style>
  <w:style w:type="paragraph" w:styleId="Heading3">
    <w:name w:val="heading 3"/>
    <w:basedOn w:val="Normal"/>
    <w:next w:val="Normal"/>
    <w:link w:val="Heading3Char"/>
    <w:uiPriority w:val="9"/>
    <w:unhideWhenUsed/>
    <w:qFormat/>
    <w:rsid w:val="00BA366B"/>
    <w:pPr>
      <w:keepNext/>
      <w:keepLines/>
      <w:spacing w:before="40" w:after="0"/>
      <w:outlineLvl w:val="2"/>
    </w:pPr>
    <w:rPr>
      <w:rFonts w:ascii="Calibri" w:eastAsiaTheme="majorEastAsia" w:hAnsi="Calibri" w:cs="Calibri"/>
      <w:b/>
      <w:color w:val="E65149"/>
      <w:sz w:val="24"/>
      <w:szCs w:val="24"/>
    </w:rPr>
  </w:style>
  <w:style w:type="paragraph" w:styleId="Heading4">
    <w:name w:val="heading 4"/>
    <w:basedOn w:val="Normal"/>
    <w:next w:val="Normal"/>
    <w:link w:val="Heading4Char"/>
    <w:uiPriority w:val="9"/>
    <w:unhideWhenUsed/>
    <w:qFormat/>
    <w:rsid w:val="00BA366B"/>
    <w:pPr>
      <w:keepNext/>
      <w:keepLines/>
      <w:spacing w:before="40" w:after="0"/>
      <w:outlineLvl w:val="3"/>
    </w:pPr>
    <w:rPr>
      <w:rFonts w:ascii="Calibri" w:eastAsiaTheme="majorEastAsia" w:hAnsi="Calibri" w:cs="Calibri"/>
      <w:b/>
      <w:iCs/>
      <w:color w:val="E6514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366B"/>
    <w:pPr>
      <w:spacing w:after="0" w:line="240" w:lineRule="auto"/>
      <w:contextualSpacing/>
    </w:pPr>
    <w:rPr>
      <w:rFonts w:ascii="Calibri" w:eastAsiaTheme="majorEastAsia" w:hAnsi="Calibri" w:cs="Calibri"/>
      <w:b/>
      <w:color w:val="E65149"/>
      <w:spacing w:val="-10"/>
      <w:kern w:val="28"/>
      <w:sz w:val="56"/>
      <w:szCs w:val="56"/>
    </w:rPr>
  </w:style>
  <w:style w:type="character" w:customStyle="1" w:styleId="TitleChar">
    <w:name w:val="Title Char"/>
    <w:basedOn w:val="DefaultParagraphFont"/>
    <w:link w:val="Title"/>
    <w:uiPriority w:val="10"/>
    <w:rsid w:val="00BA366B"/>
    <w:rPr>
      <w:rFonts w:ascii="Calibri" w:eastAsiaTheme="majorEastAsia" w:hAnsi="Calibri" w:cs="Calibri"/>
      <w:b/>
      <w:color w:val="E65149"/>
      <w:spacing w:val="-10"/>
      <w:kern w:val="28"/>
      <w:sz w:val="56"/>
      <w:szCs w:val="56"/>
    </w:rPr>
  </w:style>
  <w:style w:type="character" w:customStyle="1" w:styleId="Heading1Char">
    <w:name w:val="Heading 1 Char"/>
    <w:basedOn w:val="DefaultParagraphFont"/>
    <w:link w:val="Heading1"/>
    <w:uiPriority w:val="9"/>
    <w:rsid w:val="00BA366B"/>
    <w:rPr>
      <w:rFonts w:ascii="Calibri" w:eastAsiaTheme="majorEastAsia" w:hAnsi="Calibri" w:cs="Calibri"/>
      <w:b/>
      <w:color w:val="E65149"/>
      <w:sz w:val="36"/>
      <w:szCs w:val="32"/>
    </w:rPr>
  </w:style>
  <w:style w:type="character" w:customStyle="1" w:styleId="Heading2Char">
    <w:name w:val="Heading 2 Char"/>
    <w:basedOn w:val="DefaultParagraphFont"/>
    <w:link w:val="Heading2"/>
    <w:uiPriority w:val="9"/>
    <w:rsid w:val="00BA366B"/>
    <w:rPr>
      <w:rFonts w:ascii="Calibri" w:eastAsiaTheme="majorEastAsia" w:hAnsi="Calibri" w:cs="Calibri"/>
      <w:b/>
      <w:color w:val="E65149"/>
      <w:sz w:val="28"/>
      <w:szCs w:val="26"/>
    </w:rPr>
  </w:style>
  <w:style w:type="character" w:customStyle="1" w:styleId="Heading3Char">
    <w:name w:val="Heading 3 Char"/>
    <w:basedOn w:val="DefaultParagraphFont"/>
    <w:link w:val="Heading3"/>
    <w:uiPriority w:val="9"/>
    <w:rsid w:val="00BA366B"/>
    <w:rPr>
      <w:rFonts w:ascii="Calibri" w:eastAsiaTheme="majorEastAsia" w:hAnsi="Calibri" w:cs="Calibri"/>
      <w:b/>
      <w:color w:val="E65149"/>
      <w:sz w:val="24"/>
      <w:szCs w:val="24"/>
    </w:rPr>
  </w:style>
  <w:style w:type="character" w:customStyle="1" w:styleId="Heading4Char">
    <w:name w:val="Heading 4 Char"/>
    <w:basedOn w:val="DefaultParagraphFont"/>
    <w:link w:val="Heading4"/>
    <w:uiPriority w:val="9"/>
    <w:rsid w:val="00BA366B"/>
    <w:rPr>
      <w:rFonts w:ascii="Calibri" w:eastAsiaTheme="majorEastAsia" w:hAnsi="Calibri" w:cs="Calibri"/>
      <w:b/>
      <w:iCs/>
      <w:color w:val="E65149"/>
    </w:rPr>
  </w:style>
  <w:style w:type="paragraph" w:styleId="Header">
    <w:name w:val="header"/>
    <w:basedOn w:val="Normal"/>
    <w:link w:val="HeaderChar"/>
    <w:uiPriority w:val="99"/>
    <w:unhideWhenUsed/>
    <w:rsid w:val="005944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44C6"/>
  </w:style>
  <w:style w:type="paragraph" w:styleId="Footer">
    <w:name w:val="footer"/>
    <w:basedOn w:val="Normal"/>
    <w:link w:val="FooterChar"/>
    <w:uiPriority w:val="99"/>
    <w:unhideWhenUsed/>
    <w:rsid w:val="005944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44C6"/>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25" Target="media/rId25.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5" Target="media/rId105.png" /><Relationship Type="http://schemas.openxmlformats.org/officeDocument/2006/relationships/image" Id="rId107" Target="media/rId107.png" /><Relationship Type="http://schemas.openxmlformats.org/officeDocument/2006/relationships/image" Id="rId27" Target="media/rId27.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32" Target="media/rId132.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85" Target="media/rId85.png" /><Relationship Type="http://schemas.openxmlformats.org/officeDocument/2006/relationships/image" Id="rId110" Target="media/rId110.png" /><Relationship Type="http://schemas.openxmlformats.org/officeDocument/2006/relationships/image" Id="rId78" Target="media/rId78.png" /><Relationship Type="http://schemas.openxmlformats.org/officeDocument/2006/relationships/image" Id="rId88" Target="media/rId88.png" /><Relationship Type="http://schemas.openxmlformats.org/officeDocument/2006/relationships/image" Id="rId46" Target="media/rId46.png" /><Relationship Type="http://schemas.openxmlformats.org/officeDocument/2006/relationships/image" Id="rId44" Target="media/rId44.png" /><Relationship Type="http://schemas.openxmlformats.org/officeDocument/2006/relationships/hyperlink" Id="rId125" Target="https://aodstats.org.au/index.php" TargetMode="External" /><Relationship Type="http://schemas.openxmlformats.org/officeDocument/2006/relationships/hyperlink" Id="rId118" Target="https://hwd.health.gov.au/datatool.html" TargetMode="External" /><Relationship Type="http://schemas.openxmlformats.org/officeDocument/2006/relationships/hyperlink" Id="rId128" Target="https://responsiblegambling.vic.gov.au/resources/gambling-victoria/pokies-across-victoria/moonee-valley/" TargetMode="External" /><Relationship Type="http://schemas.openxmlformats.org/officeDocument/2006/relationships/hyperlink" Id="rId129" Target="https://victorianwomenshealthatlas.net.au" TargetMode="External" /><Relationship Type="http://schemas.openxmlformats.org/officeDocument/2006/relationships/hyperlink" Id="rId68" Target="https://victorianwomenshealthatlas.net.au/reports%2Ffactsheets%2FCancer%2FMoonee%20Valley%2FVWHAtlas%20Fact%20Sheet%20Cancer%20Moonee%20Valley.pdf" TargetMode="External" /><Relationship Type="http://schemas.openxmlformats.org/officeDocument/2006/relationships/hyperlink" Id="rId49" Target="https://victorianwomenshealthatlas.net.au/reports%2Ffactsheets%2FGender%20Equality%2FMoonee%20Valley%2FVWHAtlas%20Fact%20Sheet%20Gender%20Equality%20Moonee%20Valley.pdf" TargetMode="External" /><Relationship Type="http://schemas.openxmlformats.org/officeDocument/2006/relationships/hyperlink" Id="rId95" Target="https://victorianwomenshealthatlas.net.au/reports%2Ffactsheets%2FMental%20Health%2FMoonee%20Valley%2FVWHAtlas%20Fact%20Sheet%20Mental%20Health%20Moonee%20Valley.pdf" TargetMode="External" /><Relationship Type="http://schemas.openxmlformats.org/officeDocument/2006/relationships/hyperlink" Id="rId102" Target="https://victorianwomenshealthatlas.net.au/reports%2Ffactsheets%2FViolence%20Against%20Women%2FMoonee%20Valley%2FVWHAtlas%20Fact%20Sheet%20Violence%20Against%20Women%20Moonee%20Valley.pdf" TargetMode="External" /><Relationship Type="http://schemas.openxmlformats.org/officeDocument/2006/relationships/hyperlink" Id="rId116" Target="https://www.abs.gov.au/statistics/labour/earnings-and-work-hours/weekly-payroll-jobs-and-wages-australia/latest-release" TargetMode="External" /><Relationship Type="http://schemas.openxmlformats.org/officeDocument/2006/relationships/hyperlink" Id="rId117" Target="https://www.aedc.gov.au/data/downloads" TargetMode="External" /><Relationship Type="http://schemas.openxmlformats.org/officeDocument/2006/relationships/hyperlink" Id="rId22" Target="https://www.aihw.gov.au/reports-data/australias-health" TargetMode="External" /><Relationship Type="http://schemas.openxmlformats.org/officeDocument/2006/relationships/hyperlink" Id="rId121" Target="https://www.aihw.gov.au/reports/cancer-screening/national-cancer-screening-programs-participation/contents/summary" TargetMode="External" /><Relationship Type="http://schemas.openxmlformats.org/officeDocument/2006/relationships/hyperlink" Id="rId119" Target="https://www.aihw.gov.au/reports/life-expectancy-death/mort-books/contents/mort-books" TargetMode="External" /><Relationship Type="http://schemas.openxmlformats.org/officeDocument/2006/relationships/hyperlink" Id="rId122" Target="https://www.crimestatistics.vic.gov.au/crime-statistics/latest-victorian-crime-data" TargetMode="External" /><Relationship Type="http://schemas.openxmlformats.org/officeDocument/2006/relationships/hyperlink" Id="rId124" Target="https://www.dhhs.vic.gov.au/publications/rental-report" TargetMode="External" /><Relationship Type="http://schemas.openxmlformats.org/officeDocument/2006/relationships/hyperlink" Id="rId123" Target="https://www.employment.gov.au/small-area-labour-markets-publication-0" TargetMode="External" /><Relationship Type="http://schemas.openxmlformats.org/officeDocument/2006/relationships/hyperlink" Id="rId120" Target="https://www.gen-agedcaredata.gov.au/resources/access-data/2019/september/aged-care-service-list-30-june-2019" TargetMode="External" /><Relationship Type="http://schemas.openxmlformats.org/officeDocument/2006/relationships/hyperlink" Id="rId126" Target="https://www.vcglr.vic.gov.au/gambling-data" TargetMode="External" /><Relationship Type="http://schemas.openxmlformats.org/officeDocument/2006/relationships/hyperlink" Id="rId127" Target="https://www.vcglr.vic.gov.au/liquor-data" TargetMode="External" /></Relationships>
</file>

<file path=word/_rels/footnotes.xml.rels><?xml version="1.0" encoding="UTF-8"?>
<Relationships xmlns="http://schemas.openxmlformats.org/package/2006/relationships"><Relationship Type="http://schemas.openxmlformats.org/officeDocument/2006/relationships/hyperlink" Id="rId125" Target="https://aodstats.org.au/index.php" TargetMode="External" /><Relationship Type="http://schemas.openxmlformats.org/officeDocument/2006/relationships/hyperlink" Id="rId118" Target="https://hwd.health.gov.au/datatool.html" TargetMode="External" /><Relationship Type="http://schemas.openxmlformats.org/officeDocument/2006/relationships/hyperlink" Id="rId128" Target="https://responsiblegambling.vic.gov.au/resources/gambling-victoria/pokies-across-victoria/moonee-valley/" TargetMode="External" /><Relationship Type="http://schemas.openxmlformats.org/officeDocument/2006/relationships/hyperlink" Id="rId129" Target="https://victorianwomenshealthatlas.net.au" TargetMode="External" /><Relationship Type="http://schemas.openxmlformats.org/officeDocument/2006/relationships/hyperlink" Id="rId68" Target="https://victorianwomenshealthatlas.net.au/reports%2Ffactsheets%2FCancer%2FMoonee%20Valley%2FVWHAtlas%20Fact%20Sheet%20Cancer%20Moonee%20Valley.pdf" TargetMode="External" /><Relationship Type="http://schemas.openxmlformats.org/officeDocument/2006/relationships/hyperlink" Id="rId49" Target="https://victorianwomenshealthatlas.net.au/reports%2Ffactsheets%2FGender%20Equality%2FMoonee%20Valley%2FVWHAtlas%20Fact%20Sheet%20Gender%20Equality%20Moonee%20Valley.pdf" TargetMode="External" /><Relationship Type="http://schemas.openxmlformats.org/officeDocument/2006/relationships/hyperlink" Id="rId95" Target="https://victorianwomenshealthatlas.net.au/reports%2Ffactsheets%2FMental%20Health%2FMoonee%20Valley%2FVWHAtlas%20Fact%20Sheet%20Mental%20Health%20Moonee%20Valley.pdf" TargetMode="External" /><Relationship Type="http://schemas.openxmlformats.org/officeDocument/2006/relationships/hyperlink" Id="rId102" Target="https://victorianwomenshealthatlas.net.au/reports%2Ffactsheets%2FViolence%20Against%20Women%2FMoonee%20Valley%2FVWHAtlas%20Fact%20Sheet%20Violence%20Against%20Women%20Moonee%20Valley.pdf" TargetMode="External" /><Relationship Type="http://schemas.openxmlformats.org/officeDocument/2006/relationships/hyperlink" Id="rId116" Target="https://www.abs.gov.au/statistics/labour/earnings-and-work-hours/weekly-payroll-jobs-and-wages-australia/latest-release" TargetMode="External" /><Relationship Type="http://schemas.openxmlformats.org/officeDocument/2006/relationships/hyperlink" Id="rId117" Target="https://www.aedc.gov.au/data/downloads" TargetMode="External" /><Relationship Type="http://schemas.openxmlformats.org/officeDocument/2006/relationships/hyperlink" Id="rId22" Target="https://www.aihw.gov.au/reports-data/australias-health" TargetMode="External" /><Relationship Type="http://schemas.openxmlformats.org/officeDocument/2006/relationships/hyperlink" Id="rId121" Target="https://www.aihw.gov.au/reports/cancer-screening/national-cancer-screening-programs-participation/contents/summary" TargetMode="External" /><Relationship Type="http://schemas.openxmlformats.org/officeDocument/2006/relationships/hyperlink" Id="rId119" Target="https://www.aihw.gov.au/reports/life-expectancy-death/mort-books/contents/mort-books" TargetMode="External" /><Relationship Type="http://schemas.openxmlformats.org/officeDocument/2006/relationships/hyperlink" Id="rId122" Target="https://www.crimestatistics.vic.gov.au/crime-statistics/latest-victorian-crime-data" TargetMode="External" /><Relationship Type="http://schemas.openxmlformats.org/officeDocument/2006/relationships/hyperlink" Id="rId124" Target="https://www.dhhs.vic.gov.au/publications/rental-report" TargetMode="External" /><Relationship Type="http://schemas.openxmlformats.org/officeDocument/2006/relationships/hyperlink" Id="rId123" Target="https://www.employment.gov.au/small-area-labour-markets-publication-0" TargetMode="External" /><Relationship Type="http://schemas.openxmlformats.org/officeDocument/2006/relationships/hyperlink" Id="rId120" Target="https://www.gen-agedcaredata.gov.au/resources/access-data/2019/september/aged-care-service-list-30-june-2019" TargetMode="External" /><Relationship Type="http://schemas.openxmlformats.org/officeDocument/2006/relationships/hyperlink" Id="rId126" Target="https://www.vcglr.vic.gov.au/gambling-data" TargetMode="External" /><Relationship Type="http://schemas.openxmlformats.org/officeDocument/2006/relationships/hyperlink" Id="rId127" Target="https://www.vcglr.vic.gov.au/liquor-dat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7</Words>
  <Characters>42</Characters>
  <Application>Microsoft Office Word</Application>
  <DocSecurity>0</DocSecurity>
  <Lines>1</Lines>
  <Paragraphs>1</Paragraphs>
  <ScaleCrop>false</ScaleCrop>
  <Company>City of Moonee Valley</Company>
  <LinksUpToDate>false</LinksUpToDate>
  <CharactersWithSpaces>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Moonee Valley Health Profile 2020</dc:title>
  <dc:creator/>
  <cp:keywords/>
  <dcterms:created xsi:type="dcterms:W3CDTF">2020-10-08T22:20:38Z</dcterms:created>
  <dcterms:modified xsi:type="dcterms:W3CDTF">2020-10-08T22:20:38Z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