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pacing w:val="40"/>
          <w:sz w:val="20"/>
          <w:szCs w:val="20"/>
        </w:rPr>
        <w:t xml:space="preserve">CREATIVE BRIEF</w:t>
      </w:r>
    </w:p>
    <w:p>
      <w:pPr>
        <w:spacing w:after="60"/>
      </w:pPr>
      <w:r>
        <w:rPr>
          <w:b/>
          <w:bCs/>
          <w:color w:val="0B7A6B"/>
          <w:sz w:val="36"/>
          <w:szCs w:val="36"/>
        </w:rPr>
        <w:t xml:space="preserve">Paid Media: New Ads &amp; Landing Pages</w:t>
      </w:r>
    </w:p>
    <w:p>
      <w:pPr>
        <w:pBdr>
          <w:bottom w:val="single" w:color="0B7A6B" w:sz="12" w:space="6"/>
        </w:pBdr>
        <w:spacing w:after="160"/>
      </w:pPr>
      <w:r>
        <w:rPr>
          <w:i/>
          <w:iCs/>
          <w:color w:val="595959"/>
          <w:sz w:val="20"/>
          <w:szCs w:val="20"/>
        </w:rPr>
        <w:t xml:space="preserve">Nashville CARES / CARES360 — for the creative team</w:t>
      </w:r>
    </w:p>
    <w:tbl>
      <w:tblPr>
        <w:tblW w:type="dxa" w:w="9360"/>
        <w:tblBorders>
          <w:top w:val="single" w:color="E0E0E0" w:sz="4"/>
          <w:left w:val="single" w:color="E0E0E0" w:sz="4"/>
          <w:bottom w:val="single" w:color="E0E0E0" w:sz="4"/>
          <w:right w:val="single" w:color="E0E0E0" w:sz="4"/>
          <w:insideH w:val="single" w:color="E0E0E0" w:sz="4"/>
          <w:insideV w:val="single" w:color="E0E0E0" w:sz="4"/>
        </w:tblBorders>
      </w:tblPr>
      <w:tblGrid>
        <w:gridCol w:w="2000"/>
        <w:gridCol w:w="7360"/>
      </w:tblGrid>
      <w:tr>
        <w:tc>
          <w:tcPr>
            <w:tcW w:type="dxa" w:w="2000"/>
            <w:shd w:fill="D7EEE9" w:color="auto" w:val="clear"/>
            <w:tcMar>
              <w:top w:type="dxa" w:w="60"/>
              <w:left w:type="dxa" w:w="90"/>
              <w:bottom w:type="dxa" w:w="60"/>
              <w:right w:type="dxa" w:w="90"/>
            </w:tcMar>
          </w:tcPr>
          <w:p>
            <w:r>
              <w:rPr>
                <w:b/>
                <w:bCs/>
                <w:color w:val="07463D"/>
                <w:sz w:val="20"/>
                <w:szCs w:val="20"/>
              </w:rPr>
              <w:t xml:space="preserve">Requested by</w:t>
            </w:r>
          </w:p>
        </w:tc>
        <w:tc>
          <w:tcPr>
            <w:tcW w:type="dxa" w:w="7360"/>
            <w:tcMar>
              <w:top w:type="dxa" w:w="60"/>
              <w:left w:type="dxa" w:w="90"/>
              <w:bottom w:type="dxa" w:w="60"/>
              <w:right w:type="dxa" w:w="90"/>
            </w:tcMar>
          </w:tcPr>
          <w:p>
            <w:pPr>
              <w:spacing w:after="20" w:line="264"/>
            </w:pPr>
            <w:r>
              <w:rPr>
                <w:sz w:val="20"/>
                <w:szCs w:val="20"/>
              </w:rPr>
              <w:t xml:space="preserve">William / Bottom Line Strategy Group</w:t>
            </w:r>
          </w:p>
        </w:tc>
      </w:tr>
      <w:tr>
        <w:tc>
          <w:tcPr>
            <w:tcW w:type="dxa" w:w="2000"/>
            <w:shd w:fill="D7EEE9" w:color="auto" w:val="clear"/>
            <w:tcMar>
              <w:top w:type="dxa" w:w="60"/>
              <w:left w:type="dxa" w:w="90"/>
              <w:bottom w:type="dxa" w:w="60"/>
              <w:right w:type="dxa" w:w="90"/>
            </w:tcMar>
          </w:tcPr>
          <w:p>
            <w:r>
              <w:rPr>
                <w:b/>
                <w:bCs/>
                <w:color w:val="07463D"/>
                <w:sz w:val="20"/>
                <w:szCs w:val="20"/>
              </w:rPr>
              <w:t xml:space="preserve">For</w:t>
            </w:r>
          </w:p>
        </w:tc>
        <w:tc>
          <w:tcPr>
            <w:tcW w:type="dxa" w:w="7360"/>
            <w:tcMar>
              <w:top w:type="dxa" w:w="60"/>
              <w:left w:type="dxa" w:w="90"/>
              <w:bottom w:type="dxa" w:w="60"/>
              <w:right w:type="dxa" w:w="90"/>
            </w:tcMar>
          </w:tcPr>
          <w:p>
            <w:pPr>
              <w:spacing w:after="20" w:line="264"/>
            </w:pPr>
            <w:r>
              <w:rPr>
                <w:sz w:val="20"/>
                <w:szCs w:val="20"/>
              </w:rPr>
              <w:t xml:space="preserve">Creative team — ad creative + landing pages</w:t>
            </w:r>
          </w:p>
        </w:tc>
      </w:tr>
      <w:tr>
        <w:tc>
          <w:tcPr>
            <w:tcW w:type="dxa" w:w="2000"/>
            <w:shd w:fill="D7EEE9" w:color="auto" w:val="clear"/>
            <w:tcMar>
              <w:top w:type="dxa" w:w="60"/>
              <w:left w:type="dxa" w:w="90"/>
              <w:bottom w:type="dxa" w:w="60"/>
              <w:right w:type="dxa" w:w="90"/>
            </w:tcMar>
          </w:tcPr>
          <w:p>
            <w:r>
              <w:rPr>
                <w:b/>
                <w:bCs/>
                <w:color w:val="07463D"/>
                <w:sz w:val="20"/>
                <w:szCs w:val="20"/>
              </w:rPr>
              <w:t xml:space="preserve">Campaign</w:t>
            </w:r>
          </w:p>
        </w:tc>
        <w:tc>
          <w:tcPr>
            <w:tcW w:type="dxa" w:w="7360"/>
            <w:tcMar>
              <w:top w:type="dxa" w:w="60"/>
              <w:left w:type="dxa" w:w="90"/>
              <w:bottom w:type="dxa" w:w="60"/>
              <w:right w:type="dxa" w:w="90"/>
            </w:tcMar>
          </w:tcPr>
          <w:p>
            <w:pPr>
              <w:spacing w:after="20" w:line="264"/>
            </w:pPr>
            <w:r>
              <w:rPr>
                <w:sz w:val="20"/>
                <w:szCs w:val="20"/>
              </w:rPr>
              <w:t xml:space="preserve">Umbrella: multiple services (testing, PrEP/PEP, CARES360 clinic, HIV care)</w:t>
            </w:r>
          </w:p>
        </w:tc>
      </w:tr>
      <w:tr>
        <w:tc>
          <w:tcPr>
            <w:tcW w:type="dxa" w:w="2000"/>
            <w:shd w:fill="D7EEE9" w:color="auto" w:val="clear"/>
            <w:tcMar>
              <w:top w:type="dxa" w:w="60"/>
              <w:left w:type="dxa" w:w="90"/>
              <w:bottom w:type="dxa" w:w="60"/>
              <w:right w:type="dxa" w:w="90"/>
            </w:tcMar>
          </w:tcPr>
          <w:p>
            <w:r>
              <w:rPr>
                <w:b/>
                <w:bCs/>
                <w:color w:val="07463D"/>
                <w:sz w:val="20"/>
                <w:szCs w:val="20"/>
              </w:rPr>
              <w:t xml:space="preserve">Primary action</w:t>
            </w:r>
          </w:p>
        </w:tc>
        <w:tc>
          <w:tcPr>
            <w:tcW w:type="dxa" w:w="7360"/>
            <w:tcMar>
              <w:top w:type="dxa" w:w="60"/>
              <w:left w:type="dxa" w:w="90"/>
              <w:bottom w:type="dxa" w:w="60"/>
              <w:right w:type="dxa" w:w="90"/>
            </w:tcMar>
          </w:tcPr>
          <w:p>
            <w:pPr>
              <w:spacing w:after="20" w:line="264"/>
            </w:pPr>
            <w:r>
              <w:rPr>
                <w:sz w:val="20"/>
                <w:szCs w:val="20"/>
              </w:rPr>
              <w:t xml:space="preserve">Schedule an appointment (Phreesia) — the one conversion every ad drives toward</w:t>
            </w:r>
          </w:p>
        </w:tc>
      </w:tr>
      <w:tr>
        <w:tc>
          <w:tcPr>
            <w:tcW w:type="dxa" w:w="2000"/>
            <w:shd w:fill="D7EEE9" w:color="auto" w:val="clear"/>
            <w:tcMar>
              <w:top w:type="dxa" w:w="60"/>
              <w:left w:type="dxa" w:w="90"/>
              <w:bottom w:type="dxa" w:w="60"/>
              <w:right w:type="dxa" w:w="90"/>
            </w:tcMar>
          </w:tcPr>
          <w:p>
            <w:r>
              <w:rPr>
                <w:b/>
                <w:bCs/>
                <w:color w:val="07463D"/>
                <w:sz w:val="20"/>
                <w:szCs w:val="20"/>
              </w:rPr>
              <w:t xml:space="preserve">Secondary action</w:t>
            </w:r>
          </w:p>
        </w:tc>
        <w:tc>
          <w:tcPr>
            <w:tcW w:type="dxa" w:w="7360"/>
            <w:tcMar>
              <w:top w:type="dxa" w:w="60"/>
              <w:left w:type="dxa" w:w="90"/>
              <w:bottom w:type="dxa" w:w="60"/>
              <w:right w:type="dxa" w:w="90"/>
            </w:tcMar>
          </w:tcPr>
          <w:p>
            <w:pPr>
              <w:spacing w:after="20" w:line="264"/>
            </w:pPr>
            <w:r>
              <w:rPr>
                <w:sz w:val="20"/>
                <w:szCs w:val="20"/>
              </w:rPr>
              <w:t xml:space="preserve">Contact Us / request a callback (CARES360 Jotform)</w:t>
            </w:r>
          </w:p>
        </w:tc>
      </w:tr>
      <w:tr>
        <w:tc>
          <w:tcPr>
            <w:tcW w:type="dxa" w:w="2000"/>
            <w:shd w:fill="D7EEE9" w:color="auto" w:val="clear"/>
            <w:tcMar>
              <w:top w:type="dxa" w:w="60"/>
              <w:left w:type="dxa" w:w="90"/>
              <w:bottom w:type="dxa" w:w="60"/>
              <w:right w:type="dxa" w:w="90"/>
            </w:tcMar>
          </w:tcPr>
          <w:p>
            <w:r>
              <w:rPr>
                <w:b/>
                <w:bCs/>
                <w:color w:val="07463D"/>
                <w:sz w:val="20"/>
                <w:szCs w:val="20"/>
              </w:rPr>
              <w:t xml:space="preserve">Status</w:t>
            </w:r>
          </w:p>
        </w:tc>
        <w:tc>
          <w:tcPr>
            <w:tcW w:type="dxa" w:w="7360"/>
            <w:tcMar>
              <w:top w:type="dxa" w:w="60"/>
              <w:left w:type="dxa" w:w="90"/>
              <w:bottom w:type="dxa" w:w="60"/>
              <w:right w:type="dxa" w:w="90"/>
            </w:tcMar>
          </w:tcPr>
          <w:p>
            <w:pPr>
              <w:spacing w:after="20" w:line="264"/>
            </w:pPr>
            <w:r>
              <w:rPr>
                <w:sz w:val="20"/>
                <w:szCs w:val="20"/>
              </w:rPr>
              <w:t xml:space="preserve">Media paused — relaunching on dedicated, matched landing pages</w:t>
            </w:r>
          </w:p>
        </w:tc>
      </w:tr>
    </w:tbl>
    <w:p>
      <w:pPr>
        <w:spacing w:after="140"/>
      </w:pPr>
    </w:p>
    <w:p>
      <w:pPr>
        <w:pStyle w:val="Heading1"/>
        <w:spacing w:after="120" w:before="300"/>
      </w:pPr>
      <w:r>
        <w:rPr>
          <w:b/>
          <w:bCs/>
          <w:color w:val="0B7A6B"/>
          <w:sz w:val="28"/>
          <w:szCs w:val="28"/>
        </w:rPr>
        <w:t xml:space="preserve">1. Why we're doing this</w:t>
      </w:r>
    </w:p>
    <w:p>
      <w:pPr>
        <w:spacing w:after="140" w:line="276"/>
      </w:pPr>
      <w:r>
        <w:rPr>
          <w:sz w:val="22"/>
          <w:szCs w:val="22"/>
        </w:rPr>
        <w:t xml:space="preserve">Paid media has been driving roughly half of all site traffic, but that traffic is not producing our key action — clicks to schedule an appointment. In plain terms, the ads bring people to the site but not to the point of booking care. We're relaunching paid with a sharper approach: intent-driven creative pointed at dedicated landing pages built for one job.</w:t>
      </w:r>
    </w:p>
    <w:p>
      <w:pPr>
        <w:spacing w:after="140" w:line="276"/>
      </w:pPr>
      <w:r>
        <w:rPr>
          <w:b/>
          <w:bCs/>
          <w:color w:val="0B7A6B"/>
          <w:sz w:val="22"/>
          <w:szCs w:val="22"/>
        </w:rPr>
        <w:t xml:space="preserve">The one job of every ad and page: </w:t>
      </w:r>
      <w:r>
        <w:rPr>
          <w:sz w:val="22"/>
          <w:szCs w:val="22"/>
        </w:rPr>
        <w:t xml:space="preserve">move someone to click “Schedule an appointment.” Everything we make should be judged against whether it earns that click.</w:t>
      </w:r>
    </w:p>
    <w:p>
      <w:pPr>
        <w:pStyle w:val="Heading1"/>
        <w:spacing w:after="120" w:before="300"/>
      </w:pPr>
      <w:r>
        <w:rPr>
          <w:b/>
          <w:bCs/>
          <w:color w:val="0B7A6B"/>
          <w:sz w:val="28"/>
          <w:szCs w:val="28"/>
        </w:rPr>
        <w:t xml:space="preserve">2. Who we're talking to</w:t>
      </w:r>
    </w:p>
    <w:p>
      <w:pPr>
        <w:pStyle w:val="ListParagraph"/>
        <w:numPr>
          <w:ilvl w:val="0"/>
          <w:numId w:val="2"/>
        </w:numPr>
        <w:spacing w:after="70" w:line="272"/>
      </w:pPr>
      <w:r>
        <w:rPr>
          <w:b/>
          <w:bCs/>
          <w:sz w:val="22"/>
          <w:szCs w:val="22"/>
        </w:rPr>
        <w:t xml:space="preserve">Where: </w:t>
      </w:r>
      <w:r>
        <w:rPr>
          <w:sz w:val="22"/>
          <w:szCs w:val="22"/>
        </w:rPr>
        <w:t xml:space="preserve">Adults across the 39 Middle Tennessee counties Nashville CARES serves.</w:t>
      </w:r>
    </w:p>
    <w:p>
      <w:pPr>
        <w:pStyle w:val="ListParagraph"/>
        <w:numPr>
          <w:ilvl w:val="0"/>
          <w:numId w:val="2"/>
        </w:numPr>
        <w:spacing w:after="70" w:line="272"/>
      </w:pPr>
      <w:r>
        <w:rPr>
          <w:b/>
          <w:bCs/>
          <w:sz w:val="22"/>
          <w:szCs w:val="22"/>
        </w:rPr>
        <w:t xml:space="preserve">Who: </w:t>
      </w:r>
      <w:r>
        <w:rPr>
          <w:sz w:val="22"/>
          <w:szCs w:val="22"/>
        </w:rPr>
        <w:t xml:space="preserve">People seeking sexual-health care — testing, prevention, or ongoing care — including LGBTQ+ communities, but not exclusively. Some are ready to book; some are hesitant or new to care.</w:t>
      </w:r>
    </w:p>
    <w:p>
      <w:pPr>
        <w:pStyle w:val="ListParagraph"/>
        <w:numPr>
          <w:ilvl w:val="0"/>
          <w:numId w:val="2"/>
        </w:numPr>
        <w:spacing w:after="70" w:line="272"/>
      </w:pPr>
      <w:r>
        <w:rPr>
          <w:b/>
          <w:bCs/>
          <w:sz w:val="22"/>
          <w:szCs w:val="22"/>
        </w:rPr>
        <w:t xml:space="preserve">Mindset: </w:t>
      </w:r>
      <w:r>
        <w:rPr>
          <w:sz w:val="22"/>
          <w:szCs w:val="22"/>
        </w:rPr>
        <w:t xml:space="preserve">Often private, sometimes anxious about stigma, cost, or judgment. The creative's job is to lower that barrier and make the next step feel safe and easy.</w:t>
      </w:r>
    </w:p>
    <w:p>
      <w:pPr>
        <w:pStyle w:val="Heading1"/>
        <w:spacing w:after="120" w:before="300"/>
      </w:pPr>
      <w:r>
        <w:rPr>
          <w:b/>
          <w:bCs/>
          <w:color w:val="0B7A6B"/>
          <w:sz w:val="28"/>
          <w:szCs w:val="28"/>
        </w:rPr>
        <w:t xml:space="preserve">3. Tone &amp; voice</w:t>
      </w:r>
    </w:p>
    <w:p>
      <w:pPr>
        <w:pStyle w:val="ListParagraph"/>
        <w:numPr>
          <w:ilvl w:val="0"/>
          <w:numId w:val="2"/>
        </w:numPr>
        <w:spacing w:after="70" w:line="272"/>
      </w:pPr>
      <w:r>
        <w:rPr>
          <w:sz w:val="22"/>
          <w:szCs w:val="22"/>
        </w:rPr>
        <w:t xml:space="preserve">Affirming and judgment-free — welcoming to every identity, orientation, and background.</w:t>
      </w:r>
    </w:p>
    <w:p>
      <w:pPr>
        <w:pStyle w:val="ListParagraph"/>
        <w:numPr>
          <w:ilvl w:val="0"/>
          <w:numId w:val="2"/>
        </w:numPr>
        <w:spacing w:after="70" w:line="272"/>
      </w:pPr>
      <w:r>
        <w:rPr>
          <w:sz w:val="22"/>
          <w:szCs w:val="22"/>
        </w:rPr>
        <w:t xml:space="preserve">Empowering, not fear-based — lead with control, health, and confidence, not shame or scare tactics.</w:t>
      </w:r>
    </w:p>
    <w:p>
      <w:pPr>
        <w:pStyle w:val="ListParagraph"/>
        <w:numPr>
          <w:ilvl w:val="0"/>
          <w:numId w:val="2"/>
        </w:numPr>
        <w:spacing w:after="70" w:line="272"/>
      </w:pPr>
      <w:r>
        <w:rPr>
          <w:sz w:val="22"/>
          <w:szCs w:val="22"/>
        </w:rPr>
        <w:t xml:space="preserve">Plain, warm, human language — no clinical jargon; talk like a trusted friend who happens to be an expert.</w:t>
      </w:r>
    </w:p>
    <w:p>
      <w:pPr>
        <w:pStyle w:val="ListParagraph"/>
        <w:numPr>
          <w:ilvl w:val="0"/>
          <w:numId w:val="2"/>
        </w:numPr>
        <w:spacing w:after="70" w:line="272"/>
      </w:pPr>
      <w:r>
        <w:rPr>
          <w:sz w:val="22"/>
          <w:szCs w:val="22"/>
        </w:rPr>
        <w:t xml:space="preserve">Reassuring on the barriers that matter: confidential, free or low-cost, fast, and easy.</w:t>
      </w:r>
    </w:p>
    <w:p>
      <w:pPr>
        <w:pStyle w:val="ListParagraph"/>
        <w:numPr>
          <w:ilvl w:val="0"/>
          <w:numId w:val="2"/>
        </w:numPr>
        <w:spacing w:after="70" w:line="272"/>
      </w:pPr>
      <w:r>
        <w:rPr>
          <w:sz w:val="22"/>
          <w:szCs w:val="22"/>
        </w:rPr>
        <w:t xml:space="preserve">Anchor trust in who Nashville CARES is: </w:t>
      </w:r>
      <w:r>
        <w:rPr>
          <w:sz w:val="22"/>
          <w:szCs w:val="22"/>
        </w:rPr>
        <w:t xml:space="preserve">caring for the community since 1985, HIPAA-compliant, confidential.</w:t>
      </w:r>
    </w:p>
    <w:p>
      <w:pPr>
        <w:pStyle w:val="Heading1"/>
        <w:spacing w:after="120" w:before="300"/>
      </w:pPr>
      <w:r>
        <w:rPr>
          <w:b/>
          <w:bCs/>
          <w:color w:val="0B7A6B"/>
          <w:sz w:val="28"/>
          <w:szCs w:val="28"/>
        </w:rPr>
        <w:t xml:space="preserve">4. Messaging territories (modular)</w:t>
      </w:r>
    </w:p>
    <w:p>
      <w:pPr>
        <w:spacing w:after="140" w:line="276"/>
      </w:pPr>
      <w:r>
        <w:rPr>
          <w:sz w:val="22"/>
          <w:szCs w:val="22"/>
        </w:rPr>
        <w:t xml:space="preserve">Build one umbrella campaign with these interchangeable service territories. Each has its own landing page and ad set, all driving to the same primary action. Sample lines below are directional starting points, not final copy.</w:t>
      </w:r>
    </w:p>
    <w:p>
      <w:pPr>
        <w:spacing w:after="60" w:before="160"/>
      </w:pPr>
      <w:r>
        <w:rPr>
          <w:b/>
          <w:bCs/>
          <w:color w:val="07463D"/>
          <w:sz w:val="24"/>
          <w:szCs w:val="24"/>
        </w:rPr>
        <w:t xml:space="preserve">A. Testing (HIV / STI / Hep C)</w:t>
      </w:r>
    </w:p>
    <w:p>
      <w:pPr>
        <w:spacing w:after="140" w:line="276"/>
      </w:pPr>
      <w:r>
        <w:rPr>
          <w:b/>
          <w:bCs/>
          <w:sz w:val="22"/>
          <w:szCs w:val="22"/>
        </w:rPr>
        <w:t xml:space="preserve">Angle: </w:t>
      </w:r>
      <w:r>
        <w:rPr>
          <w:sz w:val="22"/>
          <w:szCs w:val="22"/>
        </w:rPr>
        <w:t xml:space="preserve">Fast, free, confidential, zero judgment. Reduce anxiety and make booking feel like a 20-minute, no-big-deal step.</w:t>
      </w:r>
    </w:p>
    <w:p>
      <w:pPr>
        <w:spacing w:after="140" w:line="276"/>
      </w:pPr>
      <w:r>
        <w:rPr>
          <w:b/>
          <w:bCs/>
          <w:sz w:val="22"/>
          <w:szCs w:val="22"/>
        </w:rPr>
        <w:t xml:space="preserve">Sample ad headlines: </w:t>
      </w:r>
    </w:p>
    <w:p>
      <w:pPr>
        <w:pStyle w:val="ListParagraph"/>
        <w:numPr>
          <w:ilvl w:val="0"/>
          <w:numId w:val="2"/>
        </w:numPr>
        <w:spacing w:after="70" w:line="272"/>
      </w:pPr>
      <w:r>
        <w:rPr>
          <w:i/>
          <w:iCs/>
          <w:sz w:val="22"/>
          <w:szCs w:val="22"/>
        </w:rPr>
        <w:t xml:space="preserve">“Know your status. It takes 20 minutes.”</w:t>
      </w:r>
    </w:p>
    <w:p>
      <w:pPr>
        <w:pStyle w:val="ListParagraph"/>
        <w:numPr>
          <w:ilvl w:val="0"/>
          <w:numId w:val="2"/>
        </w:numPr>
        <w:spacing w:after="70" w:line="272"/>
      </w:pPr>
      <w:r>
        <w:rPr>
          <w:i/>
          <w:iCs/>
          <w:sz w:val="22"/>
          <w:szCs w:val="22"/>
        </w:rPr>
        <w:t xml:space="preserve">“Free, confidential HIV &amp; STI testing in Middle Tennessee.”</w:t>
      </w:r>
    </w:p>
    <w:p>
      <w:pPr>
        <w:pStyle w:val="ListParagraph"/>
        <w:numPr>
          <w:ilvl w:val="0"/>
          <w:numId w:val="2"/>
        </w:numPr>
        <w:spacing w:after="70" w:line="272"/>
      </w:pPr>
      <w:r>
        <w:rPr>
          <w:i/>
          <w:iCs/>
          <w:sz w:val="22"/>
          <w:szCs w:val="22"/>
        </w:rPr>
        <w:t xml:space="preserve">“Rapid results. Zero judgment.”</w:t>
      </w:r>
    </w:p>
    <w:p>
      <w:pPr>
        <w:spacing w:after="140" w:line="276"/>
      </w:pPr>
      <w:r>
        <w:rPr>
          <w:b/>
          <w:bCs/>
          <w:sz w:val="22"/>
          <w:szCs w:val="22"/>
        </w:rPr>
        <w:t xml:space="preserve">Sample body: </w:t>
      </w:r>
      <w:r>
        <w:rPr>
          <w:i/>
          <w:iCs/>
          <w:sz w:val="22"/>
          <w:szCs w:val="22"/>
        </w:rPr>
        <w:t xml:space="preserve">“Fast, free, confidential testing for HIV, STIs and Hep C — with a caring team that’s seen it all. Schedule your appointment today.”</w:t>
      </w:r>
    </w:p>
    <w:p>
      <w:pPr>
        <w:spacing w:after="140" w:line="276"/>
      </w:pPr>
      <w:r>
        <w:rPr>
          <w:b/>
          <w:bCs/>
          <w:sz w:val="22"/>
          <w:szCs w:val="22"/>
        </w:rPr>
        <w:t xml:space="preserve">Landing page headline direction: </w:t>
      </w:r>
      <w:r>
        <w:rPr>
          <w:i/>
          <w:iCs/>
          <w:sz w:val="22"/>
          <w:szCs w:val="22"/>
        </w:rPr>
        <w:t xml:space="preserve">“Free, confidential testing — book your 20-minute visit”</w:t>
      </w:r>
    </w:p>
    <w:p>
      <w:pPr>
        <w:spacing w:after="60" w:before="160"/>
      </w:pPr>
      <w:r>
        <w:rPr>
          <w:b/>
          <w:bCs/>
          <w:color w:val="07463D"/>
          <w:sz w:val="24"/>
          <w:szCs w:val="24"/>
        </w:rPr>
        <w:t xml:space="preserve">B. PrEP / PEP (HIV prevention)</w:t>
      </w:r>
    </w:p>
    <w:p>
      <w:pPr>
        <w:spacing w:after="140" w:line="276"/>
      </w:pPr>
      <w:r>
        <w:rPr>
          <w:b/>
          <w:bCs/>
          <w:sz w:val="22"/>
          <w:szCs w:val="22"/>
        </w:rPr>
        <w:t xml:space="preserve">Angle: </w:t>
      </w:r>
      <w:r>
        <w:rPr>
          <w:sz w:val="22"/>
          <w:szCs w:val="22"/>
        </w:rPr>
        <w:t xml:space="preserve">Normalize prevention and put the person in control. Future-focused, confident, matter-of-fact.</w:t>
      </w:r>
    </w:p>
    <w:p>
      <w:pPr>
        <w:spacing w:after="140" w:line="276"/>
      </w:pPr>
      <w:r>
        <w:rPr>
          <w:b/>
          <w:bCs/>
          <w:sz w:val="22"/>
          <w:szCs w:val="22"/>
        </w:rPr>
        <w:t xml:space="preserve">Sample ad headlines: </w:t>
      </w:r>
    </w:p>
    <w:p>
      <w:pPr>
        <w:pStyle w:val="ListParagraph"/>
        <w:numPr>
          <w:ilvl w:val="0"/>
          <w:numId w:val="2"/>
        </w:numPr>
        <w:spacing w:after="70" w:line="272"/>
      </w:pPr>
      <w:r>
        <w:rPr>
          <w:i/>
          <w:iCs/>
          <w:sz w:val="22"/>
          <w:szCs w:val="22"/>
        </w:rPr>
        <w:t xml:space="preserve">“One pill a day. Up to 99% protection from HIV.”</w:t>
      </w:r>
    </w:p>
    <w:p>
      <w:pPr>
        <w:pStyle w:val="ListParagraph"/>
        <w:numPr>
          <w:ilvl w:val="0"/>
          <w:numId w:val="2"/>
        </w:numPr>
        <w:spacing w:after="70" w:line="272"/>
      </w:pPr>
      <w:r>
        <w:rPr>
          <w:i/>
          <w:iCs/>
          <w:sz w:val="22"/>
          <w:szCs w:val="22"/>
        </w:rPr>
        <w:t xml:space="preserve">“PrEP is prevention. Let’s talk.”</w:t>
      </w:r>
    </w:p>
    <w:p>
      <w:pPr>
        <w:pStyle w:val="ListParagraph"/>
        <w:numPr>
          <w:ilvl w:val="0"/>
          <w:numId w:val="2"/>
        </w:numPr>
        <w:spacing w:after="70" w:line="272"/>
      </w:pPr>
      <w:r>
        <w:rPr>
          <w:i/>
          <w:iCs/>
          <w:sz w:val="22"/>
          <w:szCs w:val="22"/>
        </w:rPr>
        <w:t xml:space="preserve">“Take control of your sexual health.”</w:t>
      </w:r>
    </w:p>
    <w:p>
      <w:pPr>
        <w:spacing w:after="140" w:line="276"/>
      </w:pPr>
      <w:r>
        <w:rPr>
          <w:b/>
          <w:bCs/>
          <w:sz w:val="22"/>
          <w:szCs w:val="22"/>
        </w:rPr>
        <w:t xml:space="preserve">Sample body: </w:t>
      </w:r>
      <w:r>
        <w:rPr>
          <w:i/>
          <w:iCs/>
          <w:sz w:val="22"/>
          <w:szCs w:val="22"/>
        </w:rPr>
        <w:t xml:space="preserve">“PrEP is a daily pill that’s up to 99% effective at preventing HIV — and we make it easy to start. Schedule a visit to see if it’s right for you.”</w:t>
      </w:r>
    </w:p>
    <w:p>
      <w:pPr>
        <w:spacing w:after="140" w:line="276"/>
      </w:pPr>
      <w:r>
        <w:rPr>
          <w:b/>
          <w:bCs/>
          <w:sz w:val="22"/>
          <w:szCs w:val="22"/>
        </w:rPr>
        <w:t xml:space="preserve">Landing page headline direction: </w:t>
      </w:r>
      <w:r>
        <w:rPr>
          <w:i/>
          <w:iCs/>
          <w:sz w:val="22"/>
          <w:szCs w:val="22"/>
        </w:rPr>
        <w:t xml:space="preserve">“PrEP made simple — schedule your visit”</w:t>
      </w:r>
    </w:p>
    <w:p>
      <w:pPr>
        <w:spacing w:after="60" w:before="160"/>
      </w:pPr>
      <w:r>
        <w:rPr>
          <w:b/>
          <w:bCs/>
          <w:color w:val="07463D"/>
          <w:sz w:val="24"/>
          <w:szCs w:val="24"/>
        </w:rPr>
        <w:t xml:space="preserve">C. CARES360 Community Clinic (comprehensive care)</w:t>
      </w:r>
    </w:p>
    <w:p>
      <w:pPr>
        <w:spacing w:after="140" w:line="276"/>
      </w:pPr>
      <w:r>
        <w:rPr>
          <w:b/>
          <w:bCs/>
          <w:sz w:val="22"/>
          <w:szCs w:val="22"/>
        </w:rPr>
        <w:t xml:space="preserve">Angle: </w:t>
      </w:r>
      <w:r>
        <w:rPr>
          <w:sz w:val="22"/>
          <w:szCs w:val="22"/>
        </w:rPr>
        <w:t xml:space="preserve">Whole-person, affirming care under one roof. For people who want a medical home that sees all of them.</w:t>
      </w:r>
    </w:p>
    <w:p>
      <w:pPr>
        <w:spacing w:after="140" w:line="276"/>
      </w:pPr>
      <w:r>
        <w:rPr>
          <w:b/>
          <w:bCs/>
          <w:sz w:val="22"/>
          <w:szCs w:val="22"/>
        </w:rPr>
        <w:t xml:space="preserve">Sample ad headlines: </w:t>
      </w:r>
    </w:p>
    <w:p>
      <w:pPr>
        <w:pStyle w:val="ListParagraph"/>
        <w:numPr>
          <w:ilvl w:val="0"/>
          <w:numId w:val="2"/>
        </w:numPr>
        <w:spacing w:after="70" w:line="272"/>
      </w:pPr>
      <w:r>
        <w:rPr>
          <w:i/>
          <w:iCs/>
          <w:sz w:val="22"/>
          <w:szCs w:val="22"/>
        </w:rPr>
        <w:t xml:space="preserve">“Sexual health care that sees all of you.”</w:t>
      </w:r>
    </w:p>
    <w:p>
      <w:pPr>
        <w:pStyle w:val="ListParagraph"/>
        <w:numPr>
          <w:ilvl w:val="0"/>
          <w:numId w:val="2"/>
        </w:numPr>
        <w:spacing w:after="70" w:line="272"/>
      </w:pPr>
      <w:r>
        <w:rPr>
          <w:i/>
          <w:iCs/>
          <w:sz w:val="22"/>
          <w:szCs w:val="22"/>
        </w:rPr>
        <w:t xml:space="preserve">“Whole-person care, no judgment.”</w:t>
      </w:r>
    </w:p>
    <w:p>
      <w:pPr>
        <w:pStyle w:val="ListParagraph"/>
        <w:numPr>
          <w:ilvl w:val="0"/>
          <w:numId w:val="2"/>
        </w:numPr>
        <w:spacing w:after="70" w:line="272"/>
      </w:pPr>
      <w:r>
        <w:rPr>
          <w:i/>
          <w:iCs/>
          <w:sz w:val="22"/>
          <w:szCs w:val="22"/>
        </w:rPr>
        <w:t xml:space="preserve">“Care that meets you where you are.”</w:t>
      </w:r>
    </w:p>
    <w:p>
      <w:pPr>
        <w:spacing w:after="140" w:line="276"/>
      </w:pPr>
      <w:r>
        <w:rPr>
          <w:b/>
          <w:bCs/>
          <w:sz w:val="22"/>
          <w:szCs w:val="22"/>
        </w:rPr>
        <w:t xml:space="preserve">Sample body: </w:t>
      </w:r>
      <w:r>
        <w:rPr>
          <w:i/>
          <w:iCs/>
          <w:sz w:val="22"/>
          <w:szCs w:val="22"/>
        </w:rPr>
        <w:t xml:space="preserve">“From testing to PrEP to primary care, CARES360 offers confidential, affirming care for everyone in Middle Tennessee. Schedule an appointment.”</w:t>
      </w:r>
    </w:p>
    <w:p>
      <w:pPr>
        <w:spacing w:after="140" w:line="276"/>
      </w:pPr>
      <w:r>
        <w:rPr>
          <w:b/>
          <w:bCs/>
          <w:sz w:val="22"/>
          <w:szCs w:val="22"/>
        </w:rPr>
        <w:t xml:space="preserve">Landing page headline direction: </w:t>
      </w:r>
      <w:r>
        <w:rPr>
          <w:i/>
          <w:iCs/>
          <w:sz w:val="22"/>
          <w:szCs w:val="22"/>
        </w:rPr>
        <w:t xml:space="preserve">“Confidential, affirming care — schedule your appointment”</w:t>
      </w:r>
    </w:p>
    <w:p>
      <w:pPr>
        <w:spacing w:after="60" w:before="160"/>
      </w:pPr>
      <w:r>
        <w:rPr>
          <w:b/>
          <w:bCs/>
          <w:color w:val="07463D"/>
          <w:sz w:val="24"/>
          <w:szCs w:val="24"/>
        </w:rPr>
        <w:t xml:space="preserve">D. HIV care &amp; support</w:t>
      </w:r>
    </w:p>
    <w:p>
      <w:pPr>
        <w:spacing w:after="140" w:line="276"/>
      </w:pPr>
      <w:r>
        <w:rPr>
          <w:b/>
          <w:bCs/>
          <w:sz w:val="22"/>
          <w:szCs w:val="22"/>
        </w:rPr>
        <w:t xml:space="preserve">Angle: </w:t>
      </w:r>
      <w:r>
        <w:rPr>
          <w:sz w:val="22"/>
          <w:szCs w:val="22"/>
        </w:rPr>
        <w:t xml:space="preserve">You are not alone. Expert care plus community. Where accurate, use U=U to replace fear with hope.</w:t>
      </w:r>
    </w:p>
    <w:p>
      <w:pPr>
        <w:spacing w:after="140" w:line="276"/>
      </w:pPr>
      <w:r>
        <w:rPr>
          <w:b/>
          <w:bCs/>
          <w:sz w:val="22"/>
          <w:szCs w:val="22"/>
        </w:rPr>
        <w:t xml:space="preserve">Sample ad headlines: </w:t>
      </w:r>
    </w:p>
    <w:p>
      <w:pPr>
        <w:pStyle w:val="ListParagraph"/>
        <w:numPr>
          <w:ilvl w:val="0"/>
          <w:numId w:val="2"/>
        </w:numPr>
        <w:spacing w:after="70" w:line="272"/>
      </w:pPr>
      <w:r>
        <w:rPr>
          <w:i/>
          <w:iCs/>
          <w:sz w:val="22"/>
          <w:szCs w:val="22"/>
        </w:rPr>
        <w:t xml:space="preserve">“Living with HIV? You’re not alone.”</w:t>
      </w:r>
    </w:p>
    <w:p>
      <w:pPr>
        <w:pStyle w:val="ListParagraph"/>
        <w:numPr>
          <w:ilvl w:val="0"/>
          <w:numId w:val="2"/>
        </w:numPr>
        <w:spacing w:after="70" w:line="272"/>
      </w:pPr>
      <w:r>
        <w:rPr>
          <w:i/>
          <w:iCs/>
          <w:sz w:val="22"/>
          <w:szCs w:val="22"/>
        </w:rPr>
        <w:t xml:space="preserve">“Expert HIV care and a community that has your back.”</w:t>
      </w:r>
    </w:p>
    <w:p>
      <w:pPr>
        <w:pStyle w:val="ListParagraph"/>
        <w:numPr>
          <w:ilvl w:val="0"/>
          <w:numId w:val="2"/>
        </w:numPr>
        <w:spacing w:after="70" w:line="272"/>
      </w:pPr>
      <w:r>
        <w:rPr>
          <w:i/>
          <w:iCs/>
          <w:sz w:val="22"/>
          <w:szCs w:val="22"/>
        </w:rPr>
        <w:t xml:space="preserve">“Undetectable = Untransmittable. Care that gets you there.”</w:t>
      </w:r>
    </w:p>
    <w:p>
      <w:pPr>
        <w:spacing w:after="140" w:line="276"/>
      </w:pPr>
      <w:r>
        <w:rPr>
          <w:b/>
          <w:bCs/>
          <w:sz w:val="22"/>
          <w:szCs w:val="22"/>
        </w:rPr>
        <w:t xml:space="preserve">Sample body: </w:t>
      </w:r>
      <w:r>
        <w:rPr>
          <w:i/>
          <w:iCs/>
          <w:sz w:val="22"/>
          <w:szCs w:val="22"/>
        </w:rPr>
        <w:t xml:space="preserve">“Comprehensive HIV care, treatment and support across 39 Middle Tennessee counties — from a team that’s cared for our neighbors since 1985. Schedule a visit.”</w:t>
      </w:r>
    </w:p>
    <w:p>
      <w:pPr>
        <w:spacing w:after="140" w:line="276"/>
      </w:pPr>
      <w:r>
        <w:rPr>
          <w:b/>
          <w:bCs/>
          <w:sz w:val="22"/>
          <w:szCs w:val="22"/>
        </w:rPr>
        <w:t xml:space="preserve">Landing page headline direction: </w:t>
      </w:r>
      <w:r>
        <w:rPr>
          <w:i/>
          <w:iCs/>
          <w:sz w:val="22"/>
          <w:szCs w:val="22"/>
        </w:rPr>
        <w:t xml:space="preserve">“Expert, compassionate HIV care — schedule a visit”</w:t>
      </w:r>
    </w:p>
    <w:p>
      <w:pPr>
        <w:pStyle w:val="Heading1"/>
        <w:spacing w:after="120" w:before="300"/>
      </w:pPr>
      <w:r>
        <w:rPr>
          <w:b/>
          <w:bCs/>
          <w:color w:val="0B7A6B"/>
          <w:sz w:val="28"/>
          <w:szCs w:val="28"/>
        </w:rPr>
        <w:t xml:space="preserve">5. Compliance &amp; sensitivity guardrails (non-negotiable)</w:t>
      </w:r>
    </w:p>
    <w:p>
      <w:pPr>
        <w:spacing w:after="140" w:line="276"/>
      </w:pPr>
      <w:r>
        <w:rPr>
          <w:sz w:val="22"/>
          <w:szCs w:val="22"/>
        </w:rPr>
        <w:t xml:space="preserve">This is HIV and sexual-health care. Getting the sensitivity right is as important as getting the persuasion right — and some of these are platform-policy and legal requirements, not just style.</w:t>
      </w:r>
    </w:p>
    <w:p>
      <w:pPr>
        <w:pStyle w:val="ListParagraph"/>
        <w:numPr>
          <w:ilvl w:val="0"/>
          <w:numId w:val="2"/>
        </w:numPr>
        <w:spacing w:after="70" w:line="272"/>
      </w:pPr>
      <w:r>
        <w:rPr>
          <w:b/>
          <w:bCs/>
          <w:sz w:val="22"/>
          <w:szCs w:val="22"/>
        </w:rPr>
        <w:t xml:space="preserve">Never imply we know anything about the viewer. </w:t>
      </w:r>
      <w:r>
        <w:rPr>
          <w:sz w:val="22"/>
          <w:szCs w:val="22"/>
        </w:rPr>
        <w:t xml:space="preserve">No copy that assumes the person’s HIV status, behavior, orientation, or that they “need” a service. Speak to everyone.</w:t>
      </w:r>
    </w:p>
    <w:p>
      <w:pPr>
        <w:pStyle w:val="ListParagraph"/>
        <w:numPr>
          <w:ilvl w:val="0"/>
          <w:numId w:val="2"/>
        </w:numPr>
        <w:spacing w:after="70" w:line="272"/>
      </w:pPr>
      <w:r>
        <w:rPr>
          <w:b/>
          <w:bCs/>
          <w:sz w:val="22"/>
          <w:szCs w:val="22"/>
        </w:rPr>
        <w:t xml:space="preserve">Do not target by health condition. </w:t>
      </w:r>
      <w:r>
        <w:rPr>
          <w:sz w:val="22"/>
          <w:szCs w:val="22"/>
        </w:rPr>
        <w:t xml:space="preserve">Ad platforms prohibit targeting on health/sensitive attributes, and it carries real privacy risk. Target by geography and broad, allowed criteria only.</w:t>
      </w:r>
    </w:p>
    <w:p>
      <w:pPr>
        <w:pStyle w:val="ListParagraph"/>
        <w:numPr>
          <w:ilvl w:val="0"/>
          <w:numId w:val="2"/>
        </w:numPr>
        <w:spacing w:after="70" w:line="272"/>
      </w:pPr>
      <w:r>
        <w:rPr>
          <w:b/>
          <w:bCs/>
          <w:sz w:val="22"/>
          <w:szCs w:val="22"/>
        </w:rPr>
        <w:t xml:space="preserve">Lead with the barrier-busters: </w:t>
      </w:r>
      <w:r>
        <w:rPr>
          <w:sz w:val="22"/>
          <w:szCs w:val="22"/>
        </w:rPr>
        <w:t xml:space="preserve">confidential, free/low-cost, judgment-free, fast. These do the heaviest lifting for this audience.</w:t>
      </w:r>
    </w:p>
    <w:p>
      <w:pPr>
        <w:pStyle w:val="ListParagraph"/>
        <w:numPr>
          <w:ilvl w:val="0"/>
          <w:numId w:val="2"/>
        </w:numPr>
        <w:spacing w:after="70" w:line="272"/>
      </w:pPr>
      <w:r>
        <w:rPr>
          <w:b/>
          <w:bCs/>
          <w:sz w:val="22"/>
          <w:szCs w:val="22"/>
        </w:rPr>
        <w:t xml:space="preserve">Use U=U only where it’s accurate and in context </w:t>
      </w:r>
      <w:r>
        <w:rPr>
          <w:sz w:val="22"/>
          <w:szCs w:val="22"/>
        </w:rPr>
        <w:t xml:space="preserve">(HIV-care territory), and represent it correctly.</w:t>
      </w:r>
    </w:p>
    <w:p>
      <w:pPr>
        <w:pStyle w:val="ListParagraph"/>
        <w:numPr>
          <w:ilvl w:val="0"/>
          <w:numId w:val="2"/>
        </w:numPr>
        <w:spacing w:after="70" w:line="272"/>
      </w:pPr>
      <w:r>
        <w:rPr>
          <w:b/>
          <w:bCs/>
          <w:sz w:val="22"/>
          <w:szCs w:val="22"/>
        </w:rPr>
        <w:t xml:space="preserve">Represent people with dignity. </w:t>
      </w:r>
      <w:r>
        <w:rPr>
          <w:sz w:val="22"/>
          <w:szCs w:val="22"/>
        </w:rPr>
        <w:t xml:space="preserve">Diverse, authentic, non-stereotyped imagery; affirming, person-first language.</w:t>
      </w:r>
    </w:p>
    <w:p>
      <w:pPr>
        <w:pStyle w:val="ListParagraph"/>
        <w:numPr>
          <w:ilvl w:val="0"/>
          <w:numId w:val="2"/>
        </w:numPr>
        <w:spacing w:after="70" w:line="272"/>
      </w:pPr>
      <w:r>
        <w:rPr>
          <w:b/>
          <w:bCs/>
          <w:sz w:val="22"/>
          <w:szCs w:val="22"/>
        </w:rPr>
        <w:t xml:space="preserve">Follow Google &amp; Meta healthcare ad policies </w:t>
      </w:r>
      <w:r>
        <w:rPr>
          <w:sz w:val="22"/>
          <w:szCs w:val="22"/>
        </w:rPr>
        <w:t xml:space="preserve">on sensitive-health categories — flag anything borderline before it ships.</w:t>
      </w:r>
    </w:p>
    <w:p>
      <w:pPr>
        <w:pStyle w:val="ListParagraph"/>
        <w:numPr>
          <w:ilvl w:val="0"/>
          <w:numId w:val="2"/>
        </w:numPr>
        <w:spacing w:after="70" w:line="272"/>
      </w:pPr>
      <w:r>
        <w:rPr>
          <w:b/>
          <w:bCs/>
          <w:sz w:val="22"/>
          <w:szCs w:val="22"/>
        </w:rPr>
        <w:t xml:space="preserve">Tracking stays privacy-safe: </w:t>
      </w:r>
      <w:r>
        <w:rPr>
          <w:sz w:val="22"/>
          <w:szCs w:val="22"/>
        </w:rPr>
        <w:t xml:space="preserve">landing pages live off the main site; do not add third-party pixels to the “Schedule an appointment” step without privacy-counsel sign-off. Measure the click via the existing GA event.</w:t>
      </w:r>
    </w:p>
    <w:p>
      <w:pPr>
        <w:pStyle w:val="Heading1"/>
        <w:spacing w:after="120" w:before="300"/>
      </w:pPr>
      <w:r>
        <w:rPr>
          <w:b/>
          <w:bCs/>
          <w:color w:val="0B7A6B"/>
          <w:sz w:val="28"/>
          <w:szCs w:val="28"/>
        </w:rPr>
        <w:t xml:space="preserve">6. Landing page requirements</w:t>
      </w:r>
    </w:p>
    <w:p>
      <w:pPr>
        <w:pStyle w:val="ListParagraph"/>
        <w:numPr>
          <w:ilvl w:val="0"/>
          <w:numId w:val="2"/>
        </w:numPr>
        <w:spacing w:after="70" w:line="272"/>
      </w:pPr>
      <w:r>
        <w:rPr>
          <w:b/>
          <w:bCs/>
          <w:sz w:val="22"/>
          <w:szCs w:val="22"/>
        </w:rPr>
        <w:t xml:space="preserve">One page per territory, one job. </w:t>
      </w:r>
      <w:r>
        <w:rPr>
          <w:sz w:val="22"/>
          <w:szCs w:val="22"/>
        </w:rPr>
        <w:t xml:space="preserve">Each page maps to one service and one primary CTA: Schedule an appointment (Phreesia).</w:t>
      </w:r>
    </w:p>
    <w:p>
      <w:pPr>
        <w:pStyle w:val="ListParagraph"/>
        <w:numPr>
          <w:ilvl w:val="0"/>
          <w:numId w:val="2"/>
        </w:numPr>
        <w:spacing w:after="70" w:line="272"/>
      </w:pPr>
      <w:r>
        <w:rPr>
          <w:b/>
          <w:bCs/>
          <w:sz w:val="22"/>
          <w:szCs w:val="22"/>
        </w:rPr>
        <w:t xml:space="preserve">Message match. </w:t>
      </w:r>
      <w:r>
        <w:rPr>
          <w:sz w:val="22"/>
          <w:szCs w:val="22"/>
        </w:rPr>
        <w:t xml:space="preserve">The page headline restates the ad’s promise almost word-for-word so the visitor knows they’re in the right place.</w:t>
      </w:r>
    </w:p>
    <w:p>
      <w:pPr>
        <w:pStyle w:val="ListParagraph"/>
        <w:numPr>
          <w:ilvl w:val="0"/>
          <w:numId w:val="2"/>
        </w:numPr>
        <w:spacing w:after="70" w:line="272"/>
      </w:pPr>
      <w:r>
        <w:rPr>
          <w:b/>
          <w:bCs/>
          <w:sz w:val="22"/>
          <w:szCs w:val="22"/>
        </w:rPr>
        <w:t xml:space="preserve">Primary + secondary CTA. </w:t>
      </w:r>
      <w:r>
        <w:rPr>
          <w:sz w:val="22"/>
          <w:szCs w:val="22"/>
        </w:rPr>
        <w:t xml:space="preserve">Prominent “Schedule an appointment” (Phreesia); secondary “Contact Us / have us reach out” (Jotform) for those not ready to book.</w:t>
      </w:r>
    </w:p>
    <w:p>
      <w:pPr>
        <w:pStyle w:val="ListParagraph"/>
        <w:numPr>
          <w:ilvl w:val="0"/>
          <w:numId w:val="2"/>
        </w:numPr>
        <w:spacing w:after="70" w:line="272"/>
      </w:pPr>
      <w:r>
        <w:rPr>
          <w:b/>
          <w:bCs/>
          <w:sz w:val="22"/>
          <w:szCs w:val="22"/>
        </w:rPr>
        <w:t xml:space="preserve">Strip the navigation. </w:t>
      </w:r>
      <w:r>
        <w:rPr>
          <w:sz w:val="22"/>
          <w:szCs w:val="22"/>
        </w:rPr>
        <w:t xml:space="preserve">No main-site menu or competing links — the only paths forward are the two CTAs.</w:t>
      </w:r>
    </w:p>
    <w:p>
      <w:pPr>
        <w:pStyle w:val="ListParagraph"/>
        <w:numPr>
          <w:ilvl w:val="0"/>
          <w:numId w:val="2"/>
        </w:numPr>
        <w:spacing w:after="70" w:line="272"/>
      </w:pPr>
      <w:r>
        <w:rPr>
          <w:b/>
          <w:bCs/>
          <w:sz w:val="22"/>
          <w:szCs w:val="22"/>
        </w:rPr>
        <w:t xml:space="preserve">Trust block. </w:t>
      </w:r>
      <w:r>
        <w:rPr>
          <w:sz w:val="22"/>
          <w:szCs w:val="22"/>
        </w:rPr>
        <w:t xml:space="preserve">Confidential · free/low-cost · serving Middle TN since 1985 · HEARTLine 1-800-845-4266.</w:t>
      </w:r>
    </w:p>
    <w:p>
      <w:pPr>
        <w:pStyle w:val="ListParagraph"/>
        <w:numPr>
          <w:ilvl w:val="0"/>
          <w:numId w:val="2"/>
        </w:numPr>
        <w:spacing w:after="70" w:line="272"/>
      </w:pPr>
      <w:r>
        <w:rPr>
          <w:b/>
          <w:bCs/>
          <w:sz w:val="22"/>
          <w:szCs w:val="22"/>
        </w:rPr>
        <w:t xml:space="preserve">Fast and mobile-first. </w:t>
      </w:r>
      <w:r>
        <w:rPr>
          <w:sz w:val="22"/>
          <w:szCs w:val="22"/>
        </w:rPr>
        <w:t xml:space="preserve">This audience is overwhelmingly on phones; a slow page loses the click.</w:t>
      </w:r>
    </w:p>
    <w:p>
      <w:pPr>
        <w:pStyle w:val="ListParagraph"/>
        <w:numPr>
          <w:ilvl w:val="0"/>
          <w:numId w:val="2"/>
        </w:numPr>
        <w:spacing w:after="70" w:line="272"/>
      </w:pPr>
      <w:r>
        <w:rPr>
          <w:b/>
          <w:bCs/>
          <w:sz w:val="22"/>
          <w:szCs w:val="22"/>
        </w:rPr>
        <w:t xml:space="preserve">Tag every link. </w:t>
      </w:r>
      <w:r>
        <w:rPr>
          <w:sz w:val="22"/>
          <w:szCs w:val="22"/>
        </w:rPr>
        <w:t xml:space="preserve">Carry UTM parameters through so GA can attribute the click-to-schedule to the right ad.</w:t>
      </w:r>
    </w:p>
    <w:p>
      <w:pPr>
        <w:pStyle w:val="Heading1"/>
        <w:spacing w:after="120" w:before="300"/>
      </w:pPr>
      <w:r>
        <w:rPr>
          <w:b/>
          <w:bCs/>
          <w:color w:val="0B7A6B"/>
          <w:sz w:val="28"/>
          <w:szCs w:val="28"/>
        </w:rPr>
        <w:t xml:space="preserve">7. Where the CTAs go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200"/>
        <w:gridCol w:w="4560"/>
      </w:tblGrid>
      <w:tr>
        <w:trPr>
          <w:tblHeader/>
        </w:trPr>
        <w:tc>
          <w:tcPr>
            <w:tcW w:type="dxa" w:w="2600"/>
            <w:shd w:fill="0B7A6B" w:color="auto" w:val="clear"/>
            <w:tcMar>
              <w:top w:type="dxa" w:w="60"/>
              <w:left w:type="dxa" w:w="90"/>
              <w:bottom w:type="dxa" w:w="60"/>
              <w:right w:type="dxa" w:w="90"/>
            </w:tcMar>
          </w:tcPr>
          <w:p>
            <w:pPr>
              <w:spacing w:after="30" w:line="264"/>
            </w:pPr>
            <w:r>
              <w:rPr>
                <w:b/>
                <w:bCs/>
                <w:color w:val="FFFFFF"/>
                <w:sz w:val="20"/>
                <w:szCs w:val="20"/>
              </w:rPr>
              <w:t xml:space="preserve">CTA</w:t>
            </w:r>
          </w:p>
        </w:tc>
        <w:tc>
          <w:tcPr>
            <w:tcW w:type="dxa" w:w="2200"/>
            <w:shd w:fill="0B7A6B" w:color="auto" w:val="clear"/>
            <w:tcMar>
              <w:top w:type="dxa" w:w="60"/>
              <w:left w:type="dxa" w:w="90"/>
              <w:bottom w:type="dxa" w:w="60"/>
              <w:right w:type="dxa" w:w="90"/>
            </w:tcMar>
          </w:tcPr>
          <w:p>
            <w:pPr>
              <w:spacing w:after="30" w:line="264"/>
            </w:pPr>
            <w:r>
              <w:rPr>
                <w:b/>
                <w:bCs/>
                <w:color w:val="FFFFFF"/>
                <w:sz w:val="20"/>
                <w:szCs w:val="20"/>
              </w:rPr>
              <w:t xml:space="preserve">Priority</w:t>
            </w:r>
          </w:p>
        </w:tc>
        <w:tc>
          <w:tcPr>
            <w:tcW w:type="dxa" w:w="4560"/>
            <w:shd w:fill="0B7A6B" w:color="auto" w:val="clear"/>
            <w:tcMar>
              <w:top w:type="dxa" w:w="60"/>
              <w:left w:type="dxa" w:w="90"/>
              <w:bottom w:type="dxa" w:w="60"/>
              <w:right w:type="dxa" w:w="90"/>
            </w:tcMar>
          </w:tcPr>
          <w:p>
            <w:pPr>
              <w:spacing w:after="30" w:line="264"/>
            </w:pPr>
            <w:r>
              <w:rPr>
                <w:b/>
                <w:bCs/>
                <w:color w:val="FFFFFF"/>
                <w:sz w:val="20"/>
                <w:szCs w:val="20"/>
              </w:rPr>
              <w:t xml:space="preserve">Destination</w:t>
            </w:r>
          </w:p>
        </w:tc>
      </w:tr>
      <w:tr>
        <w:tc>
          <w:tcPr>
            <w:tcW w:type="dxa" w:w="2600"/>
            <w:tcMar>
              <w:top w:type="dxa" w:w="60"/>
              <w:left w:type="dxa" w:w="90"/>
              <w:bottom w:type="dxa" w:w="60"/>
              <w:right w:type="dxa" w:w="90"/>
            </w:tcMar>
          </w:tcPr>
          <w:p>
            <w:pPr>
              <w:spacing w:after="20" w:line="264"/>
            </w:pPr>
            <w:r>
              <w:rPr>
                <w:b/>
                <w:bCs/>
                <w:sz w:val="20"/>
                <w:szCs w:val="20"/>
              </w:rPr>
              <w:t xml:space="preserve">Schedule an appointment</w:t>
            </w:r>
          </w:p>
        </w:tc>
        <w:tc>
          <w:tcPr>
            <w:tcW w:type="dxa" w:w="2200"/>
            <w:tcMar>
              <w:top w:type="dxa" w:w="60"/>
              <w:left w:type="dxa" w:w="90"/>
              <w:bottom w:type="dxa" w:w="60"/>
              <w:right w:type="dxa" w:w="90"/>
            </w:tcMar>
          </w:tcPr>
          <w:p>
            <w:pPr>
              <w:spacing w:after="20" w:line="264"/>
            </w:pPr>
            <w:r>
              <w:rPr>
                <w:sz w:val="20"/>
                <w:szCs w:val="20"/>
              </w:rPr>
              <w:t xml:space="preserve">PRIMARY</w:t>
            </w:r>
          </w:p>
        </w:tc>
        <w:tc>
          <w:tcPr>
            <w:tcW w:type="dxa" w:w="4560"/>
            <w:tcMar>
              <w:top w:type="dxa" w:w="60"/>
              <w:left w:type="dxa" w:w="90"/>
              <w:bottom w:type="dxa" w:w="60"/>
              <w:right w:type="dxa" w:w="90"/>
            </w:tcMar>
          </w:tcPr>
          <w:p>
            <w:pPr>
              <w:spacing w:after="20" w:line="264"/>
            </w:pPr>
            <w:r>
              <w:rPr>
                <w:sz w:val="20"/>
                <w:szCs w:val="20"/>
              </w:rPr>
              <w:t xml:space="preserve">Phreesia scheduling page  [insert exact URL]</w:t>
            </w:r>
          </w:p>
        </w:tc>
      </w:tr>
      <w:tr>
        <w:tc>
          <w:tcPr>
            <w:tcW w:type="dxa" w:w="2600"/>
            <w:tcMar>
              <w:top w:type="dxa" w:w="60"/>
              <w:left w:type="dxa" w:w="90"/>
              <w:bottom w:type="dxa" w:w="60"/>
              <w:right w:type="dxa" w:w="90"/>
            </w:tcMar>
          </w:tcPr>
          <w:p>
            <w:pPr>
              <w:spacing w:after="20" w:line="264"/>
            </w:pPr>
            <w:r>
              <w:rPr>
                <w:b/>
                <w:bCs/>
                <w:sz w:val="20"/>
                <w:szCs w:val="20"/>
              </w:rPr>
              <w:t xml:space="preserve">Contact Us / request callback</w:t>
            </w:r>
          </w:p>
        </w:tc>
        <w:tc>
          <w:tcPr>
            <w:tcW w:type="dxa" w:w="2200"/>
            <w:tcMar>
              <w:top w:type="dxa" w:w="60"/>
              <w:left w:type="dxa" w:w="90"/>
              <w:bottom w:type="dxa" w:w="60"/>
              <w:right w:type="dxa" w:w="90"/>
            </w:tcMar>
          </w:tcPr>
          <w:p>
            <w:pPr>
              <w:spacing w:after="20" w:line="264"/>
            </w:pPr>
            <w:r>
              <w:rPr>
                <w:sz w:val="20"/>
                <w:szCs w:val="20"/>
              </w:rPr>
              <w:t xml:space="preserve">Secondary</w:t>
            </w:r>
          </w:p>
        </w:tc>
        <w:tc>
          <w:tcPr>
            <w:tcW w:type="dxa" w:w="4560"/>
            <w:tcMar>
              <w:top w:type="dxa" w:w="60"/>
              <w:left w:type="dxa" w:w="90"/>
              <w:bottom w:type="dxa" w:w="60"/>
              <w:right w:type="dxa" w:w="90"/>
            </w:tcMar>
          </w:tcPr>
          <w:p>
            <w:pPr>
              <w:spacing w:after="20" w:line="264"/>
            </w:pPr>
            <w:r>
              <w:rPr>
                <w:sz w:val="20"/>
                <w:szCs w:val="20"/>
              </w:rPr>
              <w:t xml:space="preserve">https://nashvillecares.jotform.com/251754258816061</w:t>
            </w:r>
          </w:p>
        </w:tc>
      </w:tr>
    </w:tbl>
    <w:p>
      <w:pPr>
        <w:spacing w:after="120"/>
      </w:pPr>
    </w:p>
    <w:p>
      <w:pPr>
        <w:pStyle w:val="Heading1"/>
        <w:spacing w:after="120" w:before="300"/>
      </w:pPr>
      <w:r>
        <w:rPr>
          <w:b/>
          <w:bCs/>
          <w:color w:val="0B7A6B"/>
          <w:sz w:val="28"/>
          <w:szCs w:val="28"/>
        </w:rPr>
        <w:t xml:space="preserve">8. Deliverables</w:t>
      </w:r>
    </w:p>
    <w:p>
      <w:pPr>
        <w:pStyle w:val="ListParagraph"/>
        <w:numPr>
          <w:ilvl w:val="0"/>
          <w:numId w:val="2"/>
        </w:numPr>
        <w:spacing w:after="70" w:line="272"/>
      </w:pPr>
      <w:r>
        <w:rPr>
          <w:b/>
          <w:bCs/>
          <w:sz w:val="22"/>
          <w:szCs w:val="22"/>
        </w:rPr>
        <w:t xml:space="preserve">Landing pages: </w:t>
      </w:r>
      <w:r>
        <w:rPr>
          <w:sz w:val="22"/>
          <w:szCs w:val="22"/>
        </w:rPr>
        <w:t xml:space="preserve">one dedicated page per active territory (start with the 2–3 highest-priority services), built off the main site, matched to their ad sets.</w:t>
      </w:r>
    </w:p>
    <w:p>
      <w:pPr>
        <w:pStyle w:val="ListParagraph"/>
        <w:numPr>
          <w:ilvl w:val="0"/>
          <w:numId w:val="2"/>
        </w:numPr>
        <w:spacing w:after="70" w:line="272"/>
      </w:pPr>
      <w:r>
        <w:rPr>
          <w:b/>
          <w:bCs/>
          <w:sz w:val="22"/>
          <w:szCs w:val="22"/>
        </w:rPr>
        <w:t xml:space="preserve">Ad creative sets: </w:t>
      </w:r>
      <w:r>
        <w:rPr>
          <w:sz w:val="22"/>
          <w:szCs w:val="22"/>
        </w:rPr>
        <w:t xml:space="preserve">headline + body variations per territory for the chosen channels, plus any required image/video assets, sized to spec.</w:t>
      </w:r>
    </w:p>
    <w:p>
      <w:pPr>
        <w:pStyle w:val="ListParagraph"/>
        <w:numPr>
          <w:ilvl w:val="0"/>
          <w:numId w:val="2"/>
        </w:numPr>
        <w:spacing w:after="70" w:line="272"/>
      </w:pPr>
      <w:r>
        <w:rPr>
          <w:b/>
          <w:bCs/>
          <w:sz w:val="22"/>
          <w:szCs w:val="22"/>
        </w:rPr>
        <w:t xml:space="preserve">Variations for testing: </w:t>
      </w:r>
      <w:r>
        <w:rPr>
          <w:sz w:val="22"/>
          <w:szCs w:val="22"/>
        </w:rPr>
        <w:t xml:space="preserve">at least 2–3 headline/creative variants per territory so we can A/B test message-match into the schedule click.</w:t>
      </w:r>
    </w:p>
    <w:p>
      <w:pPr>
        <w:pStyle w:val="Heading1"/>
        <w:spacing w:after="120" w:before="300"/>
      </w:pPr>
      <w:r>
        <w:rPr>
          <w:b/>
          <w:bCs/>
          <w:color w:val="0B7A6B"/>
          <w:sz w:val="28"/>
          <w:szCs w:val="28"/>
        </w:rPr>
        <w:t xml:space="preserve">9. How success is measured</w:t>
      </w:r>
    </w:p>
    <w:p>
      <w:pPr>
        <w:spacing w:after="140" w:line="276"/>
      </w:pPr>
      <w:r>
        <w:rPr>
          <w:b/>
          <w:bCs/>
          <w:sz w:val="22"/>
          <w:szCs w:val="22"/>
        </w:rPr>
        <w:t xml:space="preserve">The single metric that matters: </w:t>
      </w:r>
      <w:r>
        <w:rPr>
          <w:sz w:val="22"/>
          <w:szCs w:val="22"/>
        </w:rPr>
        <w:t xml:space="preserve">click-through rate from landing page to “Schedule an appointment,” tracked via the existing GA button-click event. Campaigns and creative are optimized toward that click — not toward traffic or on-site clicks, which is what misled the previous spend.</w:t>
      </w:r>
    </w:p>
    <w:p>
      <w:pPr>
        <w:pStyle w:val="Heading1"/>
        <w:spacing w:after="120" w:before="300"/>
      </w:pPr>
      <w:r>
        <w:rPr>
          <w:b/>
          <w:bCs/>
          <w:color w:val="0B7A6B"/>
          <w:sz w:val="28"/>
          <w:szCs w:val="28"/>
        </w:rPr>
        <w:t xml:space="preserve">10. To confirm before kickoff</w:t>
      </w:r>
    </w:p>
    <w:p>
      <w:pPr>
        <w:pStyle w:val="ListParagraph"/>
        <w:numPr>
          <w:ilvl w:val="0"/>
          <w:numId w:val="3"/>
        </w:numPr>
        <w:spacing w:after="70" w:line="272"/>
      </w:pPr>
      <w:r>
        <w:rPr>
          <w:sz w:val="22"/>
          <w:szCs w:val="22"/>
        </w:rPr>
        <w:t xml:space="preserve">Exact Phreesia scheduling URL(s) — one per service if available (helps attribution).</w:t>
      </w:r>
    </w:p>
    <w:p>
      <w:pPr>
        <w:pStyle w:val="ListParagraph"/>
        <w:numPr>
          <w:ilvl w:val="0"/>
          <w:numId w:val="3"/>
        </w:numPr>
        <w:spacing w:after="70" w:line="272"/>
      </w:pPr>
      <w:r>
        <w:rPr>
          <w:sz w:val="22"/>
          <w:szCs w:val="22"/>
        </w:rPr>
        <w:t xml:space="preserve">Channels in scope (search, paid social, etc.) and required ad sizes/specs.</w:t>
      </w:r>
    </w:p>
    <w:p>
      <w:pPr>
        <w:pStyle w:val="ListParagraph"/>
        <w:numPr>
          <w:ilvl w:val="0"/>
          <w:numId w:val="3"/>
        </w:numPr>
        <w:spacing w:after="70" w:line="272"/>
      </w:pPr>
      <w:r>
        <w:rPr>
          <w:sz w:val="22"/>
          <w:szCs w:val="22"/>
        </w:rPr>
        <w:t xml:space="preserve">Which 2–3 territories go first.</w:t>
      </w:r>
    </w:p>
    <w:p>
      <w:pPr>
        <w:pStyle w:val="ListParagraph"/>
        <w:numPr>
          <w:ilvl w:val="0"/>
          <w:numId w:val="3"/>
        </w:numPr>
        <w:spacing w:after="70" w:line="272"/>
      </w:pPr>
      <w:r>
        <w:rPr>
          <w:sz w:val="22"/>
          <w:szCs w:val="22"/>
        </w:rPr>
        <w:t xml:space="preserve">Brand assets, imagery guidelines, and any legal/clinical review step.</w:t>
      </w:r>
    </w:p>
    <w:p>
      <w:pPr>
        <w:pStyle w:val="ListParagraph"/>
        <w:numPr>
          <w:ilvl w:val="0"/>
          <w:numId w:val="3"/>
        </w:numPr>
        <w:spacing w:after="70" w:line="272"/>
      </w:pPr>
      <w:r>
        <w:rPr>
          <w:sz w:val="22"/>
          <w:szCs w:val="22"/>
        </w:rPr>
        <w:t xml:space="preserve">Deadline and launch date.</w:t>
      </w:r>
    </w:p>
    <w:p>
      <w:pPr>
        <w:pBdr>
          <w:top w:val="single" w:color="0B7A6B" w:sz="8" w:space="6"/>
        </w:pBdr>
        <w:spacing w:before="240"/>
      </w:pPr>
      <w:r>
        <w:rPr>
          <w:i/>
          <w:iCs/>
          <w:color w:val="595959"/>
          <w:sz w:val="21"/>
          <w:szCs w:val="21"/>
        </w:rPr>
        <w:t xml:space="preserve">One line to keep everyone aligned: every ad and page has a single job — make it safe, easy, and obvious to click “Schedule an appointment.”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2026-07-17T17:33:48.352Z</dcterms:created>
  <dcterms:modified xsi:type="dcterms:W3CDTF">2026-07-17T17:33:48.352Z</dcterms:modified>
</cp:coreProperties>
</file>

<file path=docProps/custom.xml><?xml version="1.0" encoding="utf-8"?>
<Properties xmlns="http://schemas.openxmlformats.org/officeDocument/2006/custom-properties" xmlns:vt="http://schemas.openxmlformats.org/officeDocument/2006/docPropsVTypes"/>
</file>