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20"/>
        <w:jc w:val="center"/>
      </w:pPr>
      <w:r>
        <w:rPr>
          <w:rFonts w:ascii="DM Sans" w:cs="DM Sans" w:eastAsia="DM Sans" w:hAnsi="DM Sans"/>
          <w:b/>
          <w:bCs/>
          <w:color w:val="22C55E"/>
          <w:sz w:val="72"/>
          <w:szCs w:val="72"/>
        </w:rPr>
        <w:t xml:space="preserve">CALCENGINE</w:t>
      </w:r>
    </w:p>
    <w:p>
      <w:pPr>
        <w:spacing w:after="120"/>
        <w:jc w:val="center"/>
      </w:pPr>
      <w:r>
        <w:rPr>
          <w:rFonts w:ascii="DM Sans" w:cs="DM Sans" w:eastAsia="DM Sans" w:hAnsi="DM Sans"/>
          <w:b/>
          <w:bCs/>
          <w:color w:val="0B1120"/>
          <w:sz w:val="72"/>
          <w:szCs w:val="72"/>
        </w:rPr>
        <w:t xml:space="preserve">.IO</w:t>
      </w:r>
    </w:p>
    <w:p>
      <w:pPr>
        <w:pBdr>
          <w:bottom w:val="single" w:color="22C55E" w:sz="6" w:space="1"/>
        </w:pBdr>
        <w:spacing w:after="600"/>
        <w:jc w:val="center"/>
      </w:pPr>
      <w:r>
        <w:rPr>
          <w:rFonts w:ascii="DM Sans" w:cs="DM Sans" w:eastAsia="DM Sans" w:hAnsi="DM Sans"/>
          <w:i/>
          <w:iCs/>
          <w:color w:val="64748B"/>
          <w:sz w:val="28"/>
          <w:szCs w:val="28"/>
        </w:rPr>
        <w:t xml:space="preserve">Niche Financial &amp; Career Calculator Suite</w:t>
      </w:r>
    </w:p>
    <w:p>
      <w:pPr>
        <w:spacing w:before="400"/>
      </w:pPr>
    </w:p>
    <w:p>
      <w:pPr>
        <w:spacing w:after="80"/>
        <w:jc w:val="center"/>
      </w:pPr>
      <w:r>
        <w:rPr>
          <w:rFonts w:ascii="DM Sans" w:cs="DM Sans" w:eastAsia="DM Sans" w:hAnsi="DM Sans"/>
          <w:color w:val="1E293B"/>
          <w:sz w:val="24"/>
          <w:szCs w:val="24"/>
        </w:rPr>
        <w:t xml:space="preserve">Cursor Build Brief &amp; Technical Specification</w:t>
      </w:r>
    </w:p>
    <w:p>
      <w:pPr>
        <w:spacing w:after="80"/>
        <w:jc w:val="center"/>
      </w:pPr>
      <w:r>
        <w:rPr>
          <w:rFonts w:ascii="DM Sans" w:cs="DM Sans" w:eastAsia="DM Sans" w:hAnsi="DM Sans"/>
          <w:color w:val="64748B"/>
          <w:sz w:val="22"/>
          <w:szCs w:val="22"/>
        </w:rPr>
        <w:t xml:space="preserve">Optimized for Maximum Organic Traffic &amp; AI Overview Resistance</w:t>
      </w:r>
    </w:p>
    <w:p>
      <w:pPr>
        <w:spacing w:after="400"/>
        <w:jc w:val="center"/>
      </w:pPr>
      <w:r>
        <w:rPr>
          <w:rFonts w:ascii="DM Sans" w:cs="DM Sans" w:eastAsia="DM Sans" w:hAnsi="DM Sans"/>
          <w:color w:val="64748B"/>
          <w:sz w:val="22"/>
          <w:szCs w:val="22"/>
        </w:rPr>
        <w:t xml:space="preserve">February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rPr>
          <w:rFonts w:ascii="DM Sans" w:cs="DM Sans" w:eastAsia="DM Sans" w:hAnsi="DM Sans"/>
          <w:sz w:val="22"/>
          <w:szCs w:val="22"/>
        </w:rPr>
        <w:t xml:space="preserve">CalcEngine.io is a niche financial and career calculator suite built for programmatic SEO dominance. Unlike generic calculator sites, it focuses exclusively on compensation, career finance, and life planning calculations — a vertical where every page is an interactive tool that Google cannot replicate in an AI Overview, users bookmark and return to, and finance affiliate monetization commands premium RPMs.</w:t>
      </w:r>
    </w:p>
    <w:p>
      <w:pPr>
        <w:spacing w:after="1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The model: </w:t>
      </w:r>
      <w:r>
        <w:rPr>
          <w:rFonts w:ascii="DM Sans" w:cs="DM Sans" w:eastAsia="DM Sans" w:hAnsi="DM Sans"/>
          <w:sz w:val="22"/>
          <w:szCs w:val="22"/>
        </w:rPr>
        <w:t xml:space="preserve">Calculator.net pulls 56M monthly visits with 5-minute average sessions. CalcEngine targets a focused vertical slice of that market — the ~200 highest-demand financial and career calculators — with dramatically better UX, faster load times, and SEO-optimized content wrapping each tool.</w:t>
      </w:r>
    </w:p>
    <w:p>
      <w:pPr>
        <w:spacing w:after="1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Why calculators win structurally: </w:t>
      </w:r>
      <w:r>
        <w:rPr>
          <w:rFonts w:ascii="DM Sans" w:cs="DM Sans" w:eastAsia="DM Sans" w:hAnsi="DM Sans"/>
          <w:sz w:val="22"/>
          <w:szCs w:val="22"/>
        </w:rPr>
        <w:t xml:space="preserve">Interactive tool pages are immune to AI Overview cannibalization (Google cannot render a stateful calculator in a SERP), generate 5-minute sessions (vs 30-second lookup pages), create bookmark/repeat behavior, and command finance-tier CPMs ($30–80 RPM vs $5–15 for informational content).</w:t>
      </w:r>
    </w:p>
    <w:p>
      <w:pPr>
        <w:pBdr>
          <w:bottom w:val="single" w:color="22C55E" w:sz="4" w:space="1"/>
        </w:pBdr>
        <w:spacing w:before="200" w:after="200"/>
      </w:pPr>
    </w:p>
    <w:p>
      <w:pPr>
        <w:pStyle w:val="Heading1"/>
      </w:pPr>
      <w:r>
        <w:t xml:space="preserve">1. Site Name &amp; Domain</w:t>
      </w:r>
    </w:p>
    <w:p>
      <w:pPr>
        <w:spacing w:after="1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Primary: </w:t>
      </w:r>
      <w:r>
        <w:rPr>
          <w:rFonts w:ascii="DM Sans" w:cs="DM Sans" w:eastAsia="DM Sans" w:hAnsi="DM Sans"/>
          <w:b/>
          <w:bCs/>
          <w:color w:val="22C55E"/>
          <w:sz w:val="22"/>
          <w:szCs w:val="22"/>
        </w:rPr>
        <w:t xml:space="preserve">CalcEngine.io</w:t>
      </w:r>
    </w:p>
    <w:p>
      <w:pPr>
        <w:spacing w:after="160"/>
      </w:pPr>
      <w:r>
        <w:rPr>
          <w:rFonts w:ascii="DM Sans" w:cs="DM Sans" w:eastAsia="DM Sans" w:hAnsi="DM Sans"/>
          <w:sz w:val="22"/>
          <w:szCs w:val="22"/>
        </w:rPr>
        <w:t xml:space="preserve">Short, memorable, implies computation power. The .io TLD signals a tech/tool product and is fully indexable by all search engines.</w:t>
      </w:r>
    </w:p>
    <w:p>
      <w:pPr>
        <w:spacing w:after="1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Backup alternatives: </w:t>
      </w:r>
      <w:r>
        <w:rPr>
          <w:rFonts w:ascii="DM Sans" w:cs="DM Sans" w:eastAsia="DM Sans" w:hAnsi="DM Sans"/>
          <w:sz w:val="22"/>
          <w:szCs w:val="22"/>
        </w:rPr>
        <w:t xml:space="preserve">PayCalc.tools, SalaryCalc.io, FinanceCalcs.com, CareerCalc.co</w:t>
      </w:r>
    </w:p>
    <w:p>
      <w:pPr>
        <w:pBdr>
          <w:bottom w:val="single" w:color="22C55E" w:sz="4" w:space="1"/>
        </w:pBdr>
        <w:spacing w:before="200" w:after="200"/>
      </w:pPr>
    </w:p>
    <w:p>
      <w:pPr>
        <w:pStyle w:val="Heading1"/>
      </w:pPr>
      <w:r>
        <w:t xml:space="preserve">2. Calculator Inventory — The 30 Launch Calculators</w:t>
      </w:r>
    </w:p>
    <w:p>
      <w:pPr>
        <w:spacing w:after="160"/>
      </w:pPr>
      <w:r>
        <w:rPr>
          <w:rFonts w:ascii="DM Sans" w:cs="DM Sans" w:eastAsia="DM Sans" w:hAnsi="DM Sans"/>
          <w:sz w:val="22"/>
          <w:szCs w:val="22"/>
        </w:rPr>
        <w:t xml:space="preserve">Each calculator is a standalone page optimized for a specific high-volume search query. Priority is ranked by estimated monthly search volume and monetization potential. Build ALL 30 for launch night.</w:t>
      </w:r>
    </w:p>
    <w:p>
      <w:pPr>
        <w:pStyle w:val="Heading2"/>
      </w:pPr>
      <w:r>
        <w:t xml:space="preserve">2.1 Tier 1 — Highest Volume (Build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680"/>
        <w:gridCol w:w="168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Target Query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Est. Monthly Vol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Monetization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Mortgage Payment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mortgage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5,000,000+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Mortgage leads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Salary to Hourly Converter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salary to hourly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1,200,000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Job board affiliate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Take-Home Pay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paycheck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800,000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Tax software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Retirement Savings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retirement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600,000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Brokerage affiliate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Compound Interest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compound interest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500,000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Savings accounts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Loan Payment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loan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450,000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Lending affiliates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GS Pay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GS pay scale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200,000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Gov job boards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Cost of Living Comparison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cost of living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350,000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Moving services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Inflation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inflation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300,000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Investment platforms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Auto Loan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car payment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400,000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Auto lending</w:t>
            </w:r>
          </w:p>
        </w:tc>
      </w:tr>
    </w:tbl>
    <w:p>
      <w:pPr>
        <w:pStyle w:val="Heading2"/>
      </w:pPr>
      <w:r>
        <w:t xml:space="preserve">2.2 Tier 2 — High Volume Career &amp; 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680"/>
        <w:gridCol w:w="168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Target Query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Est. Monthly Vol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Monetization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Federal Tax Estimator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federal income tax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250,000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TurboTax affiliate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Military Pay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military pay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150,000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Military banking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Overtime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overtime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120,000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Payroll software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401k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401k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200,000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Brokerage affiliate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Social Security Estimator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social security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180,000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Financial advisory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Home Affordability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how much house can I afford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350,000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Mortgage leads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Student Loan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student loan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200,000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Refinancing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FERS Retirement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FERS retirement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90,000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Financial planning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TSP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TSP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80,000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Gov finance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Debt Payoff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debt payoff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150,000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Debt consolidation</w:t>
            </w:r>
          </w:p>
        </w:tc>
      </w:tr>
    </w:tbl>
    <w:p>
      <w:pPr>
        <w:pStyle w:val="Heading2"/>
      </w:pPr>
      <w:r>
        <w:t xml:space="preserve">2.3 Tier 3 — Long-Tail &amp; Niche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680"/>
        <w:gridCol w:w="168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Target Query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Est. Monthly Vol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Monetization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Rent vs Buy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rent vs buy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60,000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Mortgage + rental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Net Worth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net worth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50,000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Wealth management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Hourly to Annual Salary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hourly to salary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200,000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Job boards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Pension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pension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90,000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Financial advisory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Freelance Rate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freelance rate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40,000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Freelance platforms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Emergency Fund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emergency fund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35,000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Savings accounts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Raise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pay raise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45,000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Career coaching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Side Hustle Tax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self employment tax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100,000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Tax software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Tip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tip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300,000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Ads only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Wage Gap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gender pay gap calculator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25,000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Career resources</w:t>
            </w:r>
          </w:p>
        </w:tc>
      </w:tr>
    </w:tbl>
    <w:p>
      <w:pPr>
        <w:spacing w:after="1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Total addressable search volume across all 30 calculators: ~12–15 million monthly searches. </w:t>
      </w:r>
      <w:r>
        <w:rPr>
          <w:rFonts w:ascii="DM Sans" w:cs="DM Sans" w:eastAsia="DM Sans" w:hAnsi="DM Sans"/>
          <w:sz w:val="22"/>
          <w:szCs w:val="22"/>
        </w:rPr>
        <w:t xml:space="preserve">Even capturing 3–5% CTR yields 360K–750K monthly visits from these pages alone.</w:t>
      </w:r>
    </w:p>
    <w:p>
      <w:r>
        <w:br w:type="page"/>
      </w:r>
    </w:p>
    <w:p>
      <w:pPr>
        <w:pBdr>
          <w:bottom w:val="single" w:color="22C55E" w:sz="4" w:space="1"/>
        </w:pBdr>
        <w:spacing w:before="200" w:after="200"/>
      </w:pPr>
    </w:p>
    <w:p>
      <w:pPr>
        <w:pStyle w:val="Heading1"/>
      </w:pPr>
      <w:r>
        <w:t xml:space="preserve">3. Page Architecture Per Calculator</w:t>
      </w:r>
    </w:p>
    <w:p>
      <w:pPr>
        <w:spacing w:after="160"/>
      </w:pPr>
      <w:r>
        <w:rPr>
          <w:rFonts w:ascii="DM Sans" w:cs="DM Sans" w:eastAsia="DM Sans" w:hAnsi="DM Sans"/>
          <w:sz w:val="22"/>
          <w:szCs w:val="22"/>
        </w:rPr>
        <w:t xml:space="preserve">Every calculator page follows an identical SEO-optimized template. This is critical — the template must be consistent across all 30 calculators for Cursor to generate them efficiently.</w:t>
      </w:r>
    </w:p>
    <w:p>
      <w:pPr>
        <w:pStyle w:val="Heading2"/>
      </w:pPr>
      <w:r>
        <w:t xml:space="preserve">3.1 Page Template Structure (Top to Bottom)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H1 Title: </w:t>
      </w:r>
      <w:r>
        <w:rPr>
          <w:rFonts w:ascii="DM Sans" w:cs="DM Sans" w:eastAsia="DM Sans" w:hAnsi="DM Sans"/>
          <w:sz w:val="22"/>
          <w:szCs w:val="22"/>
        </w:rPr>
        <w:t xml:space="preserve">"[Calculator Name] — Free [Year] [Calculator Type]" e.g. "Mortgage Payment Calculator — Free 2026 Home Loan Estimator"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Calculator Widget (ABOVE THE FOLD): </w:t>
      </w:r>
      <w:r>
        <w:rPr>
          <w:rFonts w:ascii="DM Sans" w:cs="DM Sans" w:eastAsia="DM Sans" w:hAnsi="DM Sans"/>
          <w:sz w:val="22"/>
          <w:szCs w:val="22"/>
        </w:rPr>
        <w:t xml:space="preserve">The interactive tool itself. Must be immediately visible without scrolling. Clean inputs on left, real-time results on right (desktop) or stacked (mobile). No page chrome should push the calculator below the fold.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Results Panel: </w:t>
      </w:r>
      <w:r>
        <w:rPr>
          <w:rFonts w:ascii="DM Sans" w:cs="DM Sans" w:eastAsia="DM Sans" w:hAnsi="DM Sans"/>
          <w:sz w:val="22"/>
          <w:szCs w:val="22"/>
        </w:rPr>
        <w:t xml:space="preserve">Dynamic output that updates in real-time as user adjusts inputs. Include a visual chart (pie chart for payment breakdown, line chart for growth over time). Show the primary number in large monospace font (e.g. "$2,847/mo").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CTA Block: </w:t>
      </w:r>
      <w:r>
        <w:rPr>
          <w:rFonts w:ascii="DM Sans" w:cs="DM Sans" w:eastAsia="DM Sans" w:hAnsi="DM Sans"/>
          <w:sz w:val="22"/>
          <w:szCs w:val="22"/>
        </w:rPr>
        <w:t xml:space="preserve">Contextual affiliate CTA immediately below results. E.g. "Ready to get pre-approved? Compare mortgage rates from top lenders." This is the primary monetization touchpoint.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How This Calculator Works (400–600 words): </w:t>
      </w:r>
      <w:r>
        <w:rPr>
          <w:rFonts w:ascii="DM Sans" w:cs="DM Sans" w:eastAsia="DM Sans" w:hAnsi="DM Sans"/>
          <w:sz w:val="22"/>
          <w:szCs w:val="22"/>
        </w:rPr>
        <w:t xml:space="preserve">SEO content explaining the formula, what each input means, and how to interpret results. Written in clear, helpful prose. Include the mathematical formula in a styled code block.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FAQ Section (5–7 questions): </w:t>
      </w:r>
      <w:r>
        <w:rPr>
          <w:rFonts w:ascii="DM Sans" w:cs="DM Sans" w:eastAsia="DM Sans" w:hAnsi="DM Sans"/>
          <w:sz w:val="22"/>
          <w:szCs w:val="22"/>
        </w:rPr>
        <w:t xml:space="preserve">With FAQPage schema markup. Target question-based long-tail queries like "How much house can I afford on 80k salary?" Each answer 100–200 words.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Related Calculators Block: </w:t>
      </w:r>
      <w:r>
        <w:rPr>
          <w:rFonts w:ascii="DM Sans" w:cs="DM Sans" w:eastAsia="DM Sans" w:hAnsi="DM Sans"/>
          <w:sz w:val="22"/>
          <w:szCs w:val="22"/>
        </w:rPr>
        <w:t xml:space="preserve">Grid of 4–6 related calculator cards with icons. E.g. Mortgage Calculator links to Home Affordability, Refinance, and Property Tax calculators. This is the internal linking engine.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Editorial Context (300–500 words): </w:t>
      </w:r>
      <w:r>
        <w:rPr>
          <w:rFonts w:ascii="DM Sans" w:cs="DM Sans" w:eastAsia="DM Sans" w:hAnsi="DM Sans"/>
          <w:sz w:val="22"/>
          <w:szCs w:val="22"/>
        </w:rPr>
        <w:t xml:space="preserve">Unique content per calculator about current market context. E.g. mortgage calculator includes "Current Mortgage Rates in 2026" section with general rate context. Updated quarterly.</w:t>
      </w:r>
    </w:p>
    <w:p>
      <w:pPr>
        <w:pStyle w:val="Heading2"/>
      </w:pPr>
      <w:r>
        <w:t xml:space="preserve">3.2 Critical SEO Elements Per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Title tag: </w:t>
      </w:r>
      <w:r>
        <w:rPr>
          <w:rFonts w:ascii="DM Sans" w:cs="DM Sans" w:eastAsia="DM Sans" w:hAnsi="DM Sans"/>
          <w:sz w:val="22"/>
          <w:szCs w:val="22"/>
        </w:rPr>
        <w:t xml:space="preserve">"[Calculator Name] | Free [Year] Calculator | CalcEngine"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Meta description: </w:t>
      </w:r>
      <w:r>
        <w:rPr>
          <w:rFonts w:ascii="DM Sans" w:cs="DM Sans" w:eastAsia="DM Sans" w:hAnsi="DM Sans"/>
          <w:sz w:val="22"/>
          <w:szCs w:val="22"/>
        </w:rPr>
        <w:t xml:space="preserve">"Use our free [calculator name] to [primary benefit]. Calculate [specific output] instantly. Updated for [year]."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H1: </w:t>
      </w:r>
      <w:r>
        <w:rPr>
          <w:rFonts w:ascii="DM Sans" w:cs="DM Sans" w:eastAsia="DM Sans" w:hAnsi="DM Sans"/>
          <w:sz w:val="22"/>
          <w:szCs w:val="22"/>
        </w:rPr>
        <w:t xml:space="preserve">Exact match primary keyword + year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Schema markup: </w:t>
      </w:r>
      <w:r>
        <w:rPr>
          <w:rFonts w:ascii="DM Sans" w:cs="DM Sans" w:eastAsia="DM Sans" w:hAnsi="DM Sans"/>
          <w:sz w:val="22"/>
          <w:szCs w:val="22"/>
        </w:rPr>
        <w:t xml:space="preserve">FAQPage + WebApplication + BreadcrumbList on every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Canonical URL: </w:t>
      </w:r>
      <w:r>
        <w:rPr>
          <w:rFonts w:ascii="DM Sans" w:cs="DM Sans" w:eastAsia="DM Sans" w:hAnsi="DM Sans"/>
          <w:sz w:val="22"/>
          <w:szCs w:val="22"/>
        </w:rPr>
        <w:t xml:space="preserve">Self-referencing canonical on every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Open Graph image: </w:t>
      </w:r>
      <w:r>
        <w:rPr>
          <w:rFonts w:ascii="DM Sans" w:cs="DM Sans" w:eastAsia="DM Sans" w:hAnsi="DM Sans"/>
          <w:sz w:val="22"/>
          <w:szCs w:val="22"/>
        </w:rPr>
        <w:t xml:space="preserve">Dynamic OG image showing calculator name + a sample result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Internal links: </w:t>
      </w:r>
      <w:r>
        <w:rPr>
          <w:rFonts w:ascii="DM Sans" w:cs="DM Sans" w:eastAsia="DM Sans" w:hAnsi="DM Sans"/>
          <w:sz w:val="22"/>
          <w:szCs w:val="22"/>
        </w:rPr>
        <w:t xml:space="preserve">Minimum 8 per page via related calculators, breadcrumbs, and in-content links</w:t>
      </w:r>
    </w:p>
    <w:p>
      <w:r>
        <w:br w:type="page"/>
      </w:r>
    </w:p>
    <w:p>
      <w:pPr>
        <w:pBdr>
          <w:bottom w:val="single" w:color="22C55E" w:sz="4" w:space="1"/>
        </w:pBdr>
        <w:spacing w:before="200" w:after="200"/>
      </w:pPr>
    </w:p>
    <w:p>
      <w:pPr>
        <w:pStyle w:val="Heading1"/>
      </w:pPr>
      <w:r>
        <w:t xml:space="preserve">4. URL Structure &amp; Sitemap</w:t>
      </w:r>
    </w:p>
    <w:p>
      <w:pPr>
        <w:pStyle w:val="Heading2"/>
      </w:pPr>
      <w:r>
        <w:t xml:space="preserve">4.1 URL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Homepage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Calculator Page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/calculators/{calculator-slug}/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30 at launch, 200+ over time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Category Hub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/category/{category-slug}/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6–8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Blog / Guide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/guides/{post-slug}/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20–50 over time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Comparison Pages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/compare/{a}-vs-{b}/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50–100 over time</w:t>
            </w:r>
          </w:p>
        </w:tc>
      </w:tr>
    </w:tbl>
    <w:p>
      <w:pPr>
        <w:pStyle w:val="Heading2"/>
      </w:pPr>
      <w:r>
        <w:t xml:space="preserve">4.2 Category Hubs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/category/mortgage-and-housing/ — all home finance calculators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/category/salary-and-career/ — pay conversion, raise, freelance rate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/category/retirement-and-investing/ — 401k, FERS, TSP, compound interest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/category/tax-calculators/ — federal tax, self-employment, state tax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/category/debt-and-loans/ — student loan, debt payoff, auto loan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/category/government-pay/ — GS pay, military pay, FERS, TSP</w:t>
      </w:r>
    </w:p>
    <w:p>
      <w:pPr>
        <w:pBdr>
          <w:bottom w:val="single" w:color="22C55E" w:sz="4" w:space="1"/>
        </w:pBdr>
        <w:spacing w:before="200" w:after="200"/>
      </w:pPr>
    </w:p>
    <w:p>
      <w:pPr>
        <w:pStyle w:val="Heading1"/>
      </w:pPr>
      <w:r>
        <w:t xml:space="preserve">5.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SSR for SEO, ISR for caching, client components for interactive calculators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Edge CDN, OG image generation, instant deploys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Dark mode, rapid iteration, consistent design tokens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Recharts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Lightweight, SSR-compatible, responsive charts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Calculator Logic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Client-side React state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Real-time calculation, no server roundtrip, instant UX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Data (GS/Military)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Static JSON files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GS pay tables and military pay scales as static data, no database needed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GA4 + Search Console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Traffic monitoring, query performance, Core Web Vitals</w:t>
            </w:r>
          </w:p>
        </w:tc>
      </w:tr>
    </w:tbl>
    <w:p>
      <w:pPr>
        <w:spacing w:after="16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Key architecture note: </w:t>
      </w:r>
      <w:r>
        <w:rPr>
          <w:rFonts w:ascii="DM Sans" w:cs="DM Sans" w:eastAsia="DM Sans" w:hAnsi="DM Sans"/>
          <w:sz w:val="22"/>
          <w:szCs w:val="22"/>
        </w:rPr>
        <w:t xml:space="preserve">Calculators require NO database. All computation is client-side JavaScript. The only data files are static JSON for pay scale tables. This makes the entire site deployable as a static/ISR Next.js app with zero backend infrastructure.</w:t>
      </w:r>
    </w:p>
    <w:p>
      <w:r>
        <w:br w:type="page"/>
      </w:r>
    </w:p>
    <w:p>
      <w:pPr>
        <w:pBdr>
          <w:bottom w:val="single" w:color="22C55E" w:sz="4" w:space="1"/>
        </w:pBdr>
        <w:spacing w:before="200" w:after="200"/>
      </w:pPr>
    </w:p>
    <w:p>
      <w:pPr>
        <w:pStyle w:val="Heading1"/>
      </w:pPr>
      <w:r>
        <w:t xml:space="preserve">6. Design System</w:t>
      </w:r>
    </w:p>
    <w:p>
      <w:pPr>
        <w:spacing w:after="160"/>
      </w:pPr>
      <w:r>
        <w:rPr>
          <w:rFonts w:ascii="DM Sans" w:cs="DM Sans" w:eastAsia="DM Sans" w:hAnsi="DM Sans"/>
          <w:sz w:val="22"/>
          <w:szCs w:val="22"/>
        </w:rPr>
        <w:t xml:space="preserve">The design must feel like a premium fintech tool, not a generic calculator widget. Think Linear meets Bloomberg — dark, precise, data-forward.</w:t>
      </w:r>
    </w:p>
    <w:p>
      <w:pPr>
        <w:pStyle w:val="Heading2"/>
      </w:pPr>
      <w:r>
        <w:t xml:space="preserve">6.1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680"/>
        <w:gridCol w:w="26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bg-primary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#0B1120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Deep dark blue-black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bg-surface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#162032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Calculator cards, panels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Subtle elevation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accent-primary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#22C55E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Primary CTA, positive results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Green = money/growth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accent-secondary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#3B82F6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Links, secondary actions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Trust blue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accent-warning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#F59E0B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Alerts, important callouts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Amber attention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#F1F5F9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Headings, body text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Near-white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text-muted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#94A3B8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Labels, captions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Muted slate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border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#1E293B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Input borders, dividers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Barely visible structure</w:t>
            </w:r>
          </w:p>
        </w:tc>
      </w:tr>
    </w:tbl>
    <w:p>
      <w:pPr>
        <w:pStyle w:val="Heading2"/>
      </w:pPr>
      <w:r>
        <w:t xml:space="preserve">6.2 Typography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Display / H1: </w:t>
      </w:r>
      <w:r>
        <w:rPr>
          <w:rFonts w:ascii="DM Sans" w:cs="DM Sans" w:eastAsia="DM Sans" w:hAnsi="DM Sans"/>
          <w:sz w:val="22"/>
          <w:szCs w:val="22"/>
        </w:rPr>
        <w:t xml:space="preserve">Space Grotesk, 700 weight, 32–40px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H2 / Section: </w:t>
      </w:r>
      <w:r>
        <w:rPr>
          <w:rFonts w:ascii="DM Sans" w:cs="DM Sans" w:eastAsia="DM Sans" w:hAnsi="DM Sans"/>
          <w:sz w:val="22"/>
          <w:szCs w:val="22"/>
        </w:rPr>
        <w:t xml:space="preserve">Space Grotesk, 600 weight, 24–28px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Body: </w:t>
      </w:r>
      <w:r>
        <w:rPr>
          <w:rFonts w:ascii="DM Sans" w:cs="DM Sans" w:eastAsia="DM Sans" w:hAnsi="DM Sans"/>
          <w:sz w:val="22"/>
          <w:szCs w:val="22"/>
        </w:rPr>
        <w:t xml:space="preserve">DM Sans, 400 weight, 16px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Calculator results (big numbers): </w:t>
      </w:r>
      <w:r>
        <w:rPr>
          <w:rFonts w:ascii="DM Sans" w:cs="DM Sans" w:eastAsia="DM Sans" w:hAnsi="DM Sans"/>
          <w:sz w:val="22"/>
          <w:szCs w:val="22"/>
        </w:rPr>
        <w:t xml:space="preserve">JetBrains Mono, 700 weight, 28–36px, accent-primary color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Input labels: </w:t>
      </w:r>
      <w:r>
        <w:rPr>
          <w:rFonts w:ascii="DM Sans" w:cs="DM Sans" w:eastAsia="DM Sans" w:hAnsi="DM Sans"/>
          <w:sz w:val="22"/>
          <w:szCs w:val="22"/>
        </w:rPr>
        <w:t xml:space="preserve">DM Sans, 500 weight, 14px, text-muted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Chart labels: </w:t>
      </w:r>
      <w:r>
        <w:rPr>
          <w:rFonts w:ascii="DM Sans" w:cs="DM Sans" w:eastAsia="DM Sans" w:hAnsi="DM Sans"/>
          <w:sz w:val="22"/>
          <w:szCs w:val="22"/>
        </w:rPr>
        <w:t xml:space="preserve">JetBrains Mono, 400 weight, 12px</w:t>
      </w:r>
    </w:p>
    <w:p>
      <w:pPr>
        <w:pStyle w:val="Heading2"/>
      </w:pPr>
      <w:r>
        <w:t xml:space="preserve">6.3 Calculator Widget Design Specs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Calculator container: bg-surface with 1px border, rounded-xl, p-8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Input fields: dark bg (#0B1120), 1px border, rounded-lg, large touch targets (min 48px height)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Sliders: custom styled with accent-primary thumb, smooth animation on drag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Result display: large monospace number in accent-primary, centered, with subtle glow effect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Charts: dark background, accent-primary for primary data series, accent-secondary for comparison, no grid lines, minimal axis labels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Mobile: inputs stack vertically, results below, chart below results. Full-width. No horizontal scroll ever.</w:t>
      </w:r>
    </w:p>
    <w:p>
      <w:r>
        <w:br w:type="page"/>
      </w:r>
    </w:p>
    <w:p>
      <w:pPr>
        <w:pBdr>
          <w:bottom w:val="single" w:color="22C55E" w:sz="4" w:space="1"/>
        </w:pBdr>
        <w:spacing w:before="200" w:after="200"/>
      </w:pPr>
    </w:p>
    <w:p>
      <w:pPr>
        <w:pStyle w:val="Heading1"/>
      </w:pPr>
      <w:r>
        <w:t xml:space="preserve">7. SEO &amp; Indexing Strategy</w:t>
      </w:r>
    </w:p>
    <w:p>
      <w:pPr>
        <w:pStyle w:val="Heading2"/>
      </w:pPr>
      <w:r>
        <w:t xml:space="preserve">7.1 Sitemap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Single XML sitemap (under 50K URL limit with 30–200 calculators + category pages + blog posts)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Submit to Google Search Console and Bing Webmaster Tools on launch night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Implement IndexNow for Bing instant indexing</w:t>
      </w:r>
    </w:p>
    <w:p>
      <w:pPr>
        <w:pStyle w:val="Heading2"/>
      </w:pPr>
      <w:r>
        <w:t xml:space="preserve">7.2 Schema Markup (every page)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WebApplication: </w:t>
      </w:r>
      <w:r>
        <w:rPr>
          <w:rFonts w:ascii="DM Sans" w:cs="DM Sans" w:eastAsia="DM Sans" w:hAnsi="DM Sans"/>
          <w:sz w:val="22"/>
          <w:szCs w:val="22"/>
        </w:rPr>
        <w:t xml:space="preserve">name, applicationCategory ("FinanceApplication"), operatingSystem ("Web"), offers (free)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FAQPage: </w:t>
      </w:r>
      <w:r>
        <w:rPr>
          <w:rFonts w:ascii="DM Sans" w:cs="DM Sans" w:eastAsia="DM Sans" w:hAnsi="DM Sans"/>
          <w:sz w:val="22"/>
          <w:szCs w:val="22"/>
        </w:rPr>
        <w:t xml:space="preserve">5–7 Q&amp;A pairs per calculator, targeting question-based queries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BreadcrumbList: </w:t>
      </w:r>
      <w:r>
        <w:rPr>
          <w:rFonts w:ascii="DM Sans" w:cs="DM Sans" w:eastAsia="DM Sans" w:hAnsi="DM Sans"/>
          <w:sz w:val="22"/>
          <w:szCs w:val="22"/>
        </w:rPr>
        <w:t xml:space="preserve">Home › Category › Calculator Name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HowTo: </w:t>
      </w:r>
      <w:r>
        <w:rPr>
          <w:rFonts w:ascii="DM Sans" w:cs="DM Sans" w:eastAsia="DM Sans" w:hAnsi="DM Sans"/>
          <w:sz w:val="22"/>
          <w:szCs w:val="22"/>
        </w:rPr>
        <w:t xml:space="preserve">On selected calculators where step-by-step usage makes sense</w:t>
      </w:r>
    </w:p>
    <w:p>
      <w:pPr>
        <w:pStyle w:val="Heading2"/>
      </w:pPr>
      <w:r>
        <w:t xml:space="preserve">7.3 Content Differentiation Strategy</w:t>
      </w:r>
    </w:p>
    <w:p>
      <w:pPr>
        <w:spacing w:after="160"/>
      </w:pPr>
      <w:r>
        <w:rPr>
          <w:rFonts w:ascii="DM Sans" w:cs="DM Sans" w:eastAsia="DM Sans" w:hAnsi="DM Sans"/>
          <w:sz w:val="22"/>
          <w:szCs w:val="22"/>
        </w:rPr>
        <w:t xml:space="preserve">Each calculator page must have minimum 1,000 words of unique content including the how-it-works explanation, FAQ section, editorial context, and formula documentation. No two calculator pages should share more than 20% of their text content (template chrome excluded). The calculator widget itself provides inherent uniqueness since each one computes differently.</w:t>
      </w:r>
    </w:p>
    <w:p>
      <w:pPr>
        <w:pStyle w:val="Heading2"/>
      </w:pPr>
      <w:r>
        <w:t xml:space="preserve">7.4 Internal Linking Architecture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Every calculator links to 4–6 related calculators via the "Related Calculators" grid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Category hub pages link to all calculators in that category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Homepage features all 6 category hubs + top 10 most popular calculators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Blog posts link to relevant calculators inline ("Use our mortgage calculator to see your monthly payment")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Breadcrumbs on every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Footer contains links to all category hubs and top 10 calculators</w:t>
      </w:r>
    </w:p>
    <w:p>
      <w:pPr>
        <w:pBdr>
          <w:bottom w:val="single" w:color="22C55E" w:sz="4" w:space="1"/>
        </w:pBdr>
        <w:spacing w:before="200" w:after="200"/>
      </w:pPr>
    </w:p>
    <w:p>
      <w:pPr>
        <w:pStyle w:val="Heading1"/>
      </w:pPr>
      <w:r>
        <w:t xml:space="preserve">8. Monetization Integration</w:t>
      </w:r>
    </w:p>
    <w:p>
      <w:pPr>
        <w:spacing w:after="160"/>
      </w:pPr>
      <w:r>
        <w:rPr>
          <w:rFonts w:ascii="DM Sans" w:cs="DM Sans" w:eastAsia="DM Sans" w:hAnsi="DM Sans"/>
          <w:sz w:val="22"/>
          <w:szCs w:val="22"/>
        </w:rPr>
        <w:t xml:space="preserve">CalcEngine has the highest RPM potential of all three sites because finance calculator users have extreme purchase intent.</w:t>
      </w:r>
    </w:p>
    <w:p>
      <w:pPr>
        <w:pStyle w:val="Heading2"/>
      </w:pPr>
      <w:r>
        <w:t xml:space="preserve">8.1 Affiliate Placements (Primary Revenue)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Mortgage calculators: </w:t>
      </w:r>
      <w:r>
        <w:rPr>
          <w:rFonts w:ascii="DM Sans" w:cs="DM Sans" w:eastAsia="DM Sans" w:hAnsi="DM Sans"/>
          <w:sz w:val="22"/>
          <w:szCs w:val="22"/>
        </w:rPr>
        <w:t xml:space="preserve">LendingTree, Bankrate, NerdWallet affiliate programs. CTA: "Compare rates from top lenders." Placed directly below calculation results.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Investment calculators: </w:t>
      </w:r>
      <w:r>
        <w:rPr>
          <w:rFonts w:ascii="DM Sans" w:cs="DM Sans" w:eastAsia="DM Sans" w:hAnsi="DM Sans"/>
          <w:sz w:val="22"/>
          <w:szCs w:val="22"/>
        </w:rPr>
        <w:t xml:space="preserve">Wealthfront, Betterment, Fidelity affiliate programs. CTA: "Start investing with as little as $1."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Tax calculators: </w:t>
      </w:r>
      <w:r>
        <w:rPr>
          <w:rFonts w:ascii="DM Sans" w:cs="DM Sans" w:eastAsia="DM Sans" w:hAnsi="DM Sans"/>
          <w:sz w:val="22"/>
          <w:szCs w:val="22"/>
        </w:rPr>
        <w:t xml:space="preserve">TurboTax, H&amp;R Block affiliate. CTA: "File your taxes online — free for simple returns."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Loan calculators: </w:t>
      </w:r>
      <w:r>
        <w:rPr>
          <w:rFonts w:ascii="DM Sans" w:cs="DM Sans" w:eastAsia="DM Sans" w:hAnsi="DM Sans"/>
          <w:sz w:val="22"/>
          <w:szCs w:val="22"/>
        </w:rPr>
        <w:t xml:space="preserve">SoFi, Credible, LightStream. CTA: "Check your rate without affecting your credit score."</w:t>
      </w:r>
    </w:p>
    <w:p>
      <w:pPr>
        <w:pStyle w:val="Heading2"/>
      </w:pPr>
      <w:r>
        <w:t xml:space="preserve">8.2 Display Ads (Secondary Revenue)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Google AdSense on launch (no minimum)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Mediavine Journey at 1,000 sessions/month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Mediavine Official or Raptive at 25,000 pageviews/month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Ad placement: one unit below the fold, one in the editorial content section, one in the sidebar (desktop only). NEVER above the calculator widget.</w:t>
      </w:r>
    </w:p>
    <w:p>
      <w:pPr>
        <w:pBdr>
          <w:bottom w:val="single" w:color="22C55E" w:sz="4" w:space="1"/>
        </w:pBdr>
        <w:spacing w:before="200" w:after="200"/>
      </w:pPr>
    </w:p>
    <w:p>
      <w:pPr>
        <w:pStyle w:val="Heading1"/>
      </w:pPr>
      <w:r>
        <w:t xml:space="preserve">9. Cursor Build Sequence</w:t>
      </w:r>
    </w:p>
    <w:p>
      <w:pPr>
        <w:spacing w:after="160"/>
      </w:pPr>
      <w:r>
        <w:rPr>
          <w:rFonts w:ascii="DM Sans" w:cs="DM Sans" w:eastAsia="DM Sans" w:hAnsi="DM Sans"/>
          <w:sz w:val="22"/>
          <w:szCs w:val="22"/>
        </w:rPr>
        <w:t xml:space="preserve">This is the exact order Cursor should build the project for maximum efficiency: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Project scaffold: </w:t>
      </w:r>
      <w:r>
        <w:rPr>
          <w:rFonts w:ascii="DM Sans" w:cs="DM Sans" w:eastAsia="DM Sans" w:hAnsi="DM Sans"/>
          <w:sz w:val="22"/>
          <w:szCs w:val="22"/>
        </w:rPr>
        <w:t xml:space="preserve">Next.js 14 App Router + Tailwind CSS + dark mode config. Set up layout.tsx with header, footer, dark background, Google Fonts (Space Grotesk, DM Sans, JetBrains Mono).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Reusable CalculatorLayout component: </w:t>
      </w:r>
      <w:r>
        <w:rPr>
          <w:rFonts w:ascii="DM Sans" w:cs="DM Sans" w:eastAsia="DM Sans" w:hAnsi="DM Sans"/>
          <w:sz w:val="22"/>
          <w:szCs w:val="22"/>
        </w:rPr>
        <w:t xml:space="preserve">The template wrapper that every calculator page uses. Includes: H1, calculator widget slot, results panel slot, CTA slot, how-it-works section, FAQ section with schema, related calculators grid, editorial section, breadcrumbs.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Build Tier 1 calculators (10): </w:t>
      </w:r>
      <w:r>
        <w:rPr>
          <w:rFonts w:ascii="DM Sans" w:cs="DM Sans" w:eastAsia="DM Sans" w:hAnsi="DM Sans"/>
          <w:sz w:val="22"/>
          <w:szCs w:val="22"/>
        </w:rPr>
        <w:t xml:space="preserve">Mortgage, salary-to-hourly, take-home pay, retirement, compound interest, loan payment, GS pay, cost of living, inflation, auto loan. Each is a client component with React state for real-time calculation + Recharts visualization.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Build Tier 2 calculators (10): </w:t>
      </w:r>
      <w:r>
        <w:rPr>
          <w:rFonts w:ascii="DM Sans" w:cs="DM Sans" w:eastAsia="DM Sans" w:hAnsi="DM Sans"/>
          <w:sz w:val="22"/>
          <w:szCs w:val="22"/>
        </w:rPr>
        <w:t xml:space="preserve">Federal tax, military pay, overtime, 401k, social security, home affordability, student loan, FERS, TSP, debt payoff.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Build Tier 3 calculators (10): </w:t>
      </w:r>
      <w:r>
        <w:rPr>
          <w:rFonts w:ascii="DM Sans" w:cs="DM Sans" w:eastAsia="DM Sans" w:hAnsi="DM Sans"/>
          <w:sz w:val="22"/>
          <w:szCs w:val="22"/>
        </w:rPr>
        <w:t xml:space="preserve">Rent vs buy, net worth, hourly to annual, pension, freelance rate, emergency fund, raise, self-employment tax, tip, wage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Category hub pages: </w:t>
      </w:r>
      <w:r>
        <w:rPr>
          <w:rFonts w:ascii="DM Sans" w:cs="DM Sans" w:eastAsia="DM Sans" w:hAnsi="DM Sans"/>
          <w:sz w:val="22"/>
          <w:szCs w:val="22"/>
        </w:rPr>
        <w:t xml:space="preserve">6 category pages with calculator grids, category descriptions, and internal links.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Homepage: </w:t>
      </w:r>
      <w:r>
        <w:rPr>
          <w:rFonts w:ascii="DM Sans" w:cs="DM Sans" w:eastAsia="DM Sans" w:hAnsi="DM Sans"/>
          <w:sz w:val="22"/>
          <w:szCs w:val="22"/>
        </w:rPr>
        <w:t xml:space="preserve">Hero with search bar, category grid, top 10 popular calculators, recent blog posts.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SEO infrastructure: </w:t>
      </w:r>
      <w:r>
        <w:rPr>
          <w:rFonts w:ascii="DM Sans" w:cs="DM Sans" w:eastAsia="DM Sans" w:hAnsi="DM Sans"/>
          <w:sz w:val="22"/>
          <w:szCs w:val="22"/>
        </w:rPr>
        <w:t xml:space="preserve">XML sitemap, robots.txt, dynamic OG images, all schema markup, meta tags, canonical URLs.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Deploy to Vercel: </w:t>
      </w:r>
      <w:r>
        <w:rPr>
          <w:rFonts w:ascii="DM Sans" w:cs="DM Sans" w:eastAsia="DM Sans" w:hAnsi="DM Sans"/>
          <w:sz w:val="22"/>
          <w:szCs w:val="22"/>
        </w:rPr>
        <w:t xml:space="preserve">Connect domain, verify in Search Console + Bing Webmaster Tools, submit sitemap, set up IndexNow.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AdSense + affiliate integration: </w:t>
      </w:r>
      <w:r>
        <w:rPr>
          <w:rFonts w:ascii="DM Sans" w:cs="DM Sans" w:eastAsia="DM Sans" w:hAnsi="DM Sans"/>
          <w:sz w:val="22"/>
          <w:szCs w:val="22"/>
        </w:rPr>
        <w:t xml:space="preserve">Add AdSense script, create affiliate CTA components, wire up contextual placements per calculator.</w:t>
      </w:r>
    </w:p>
    <w:p>
      <w:pPr>
        <w:pBdr>
          <w:bottom w:val="single" w:color="22C55E" w:sz="4" w:space="1"/>
        </w:pBdr>
        <w:spacing w:before="200" w:after="200"/>
      </w:pPr>
    </w:p>
    <w:p>
      <w:pPr>
        <w:spacing w:after="160"/>
      </w:pPr>
      <w:r>
        <w:rPr>
          <w:rFonts w:ascii="DM Sans" w:cs="DM Sans" w:eastAsia="DM Sans" w:hAnsi="DM Sans"/>
          <w:sz w:val="22"/>
          <w:szCs w:val="22"/>
        </w:rPr>
        <w:t xml:space="default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64748B"/>
        <w:sz w:val="16"/>
        <w:szCs w:val="16"/>
      </w:rPr>
      <w:t xml:space="preserve">Page </w:t>
    </w:r>
    <w:r>
      <w:rPr>
        <w:rFonts w:ascii="DM Sans" w:cs="DM Sans" w:eastAsia="DM Sans" w:hAnsi="DM Sans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1"/>
      </w:pBdr>
      <w:tabs>
        <w:tab w:val="right" w:pos="9026"/>
      </w:tabs>
    </w:pPr>
    <w:r>
      <w:rPr>
        <w:rFonts w:ascii="DM Sans" w:cs="DM Sans" w:eastAsia="DM Sans" w:hAnsi="DM Sans"/>
        <w:b/>
        <w:bCs/>
        <w:color w:val="22C55E"/>
        <w:sz w:val="16"/>
        <w:szCs w:val="16"/>
      </w:rPr>
      <w:t xml:space="preserve">CALCENGINE.IO</w:t>
    </w:r>
    <w:r>
      <w:rPr>
        <w:rFonts w:ascii="DM Sans" w:cs="DM Sans" w:eastAsia="DM Sans" w:hAnsi="DM Sans"/>
        <w:color w:val="64748B"/>
        <w:sz w:val="16"/>
        <w:szCs w:val="16"/>
      </w:rPr>
      <w:t xml:space="preserve">	Cursor Build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DM Sans" w:cs="DM Sans" w:eastAsia="DM Sans" w:hAnsi="DM Sans"/>
      <w:b/>
      <w:bCs/>
      <w:color w:val="0B11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DM Sans" w:cs="DM Sans" w:eastAsia="DM Sans" w:hAnsi="DM Sans"/>
      <w:b/>
      <w:bCs/>
      <w:color w:val="3B82F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DM Sans" w:cs="DM Sans" w:eastAsia="DM Sans" w:hAnsi="DM Sans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2026-02-25T00:01:03.341Z</dcterms:created>
  <dcterms:modified xsi:type="dcterms:W3CDTF">2026-02-25T00:01:03.342Z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