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A0FE" w14:textId="5732A325" w:rsidR="0060657C" w:rsidRPr="00F8618E" w:rsidRDefault="00A018EA" w:rsidP="00F8618E">
      <w:pPr>
        <w:jc w:val="center"/>
        <w:rPr>
          <w:b/>
          <w:bCs/>
          <w:sz w:val="28"/>
          <w:szCs w:val="28"/>
        </w:rPr>
      </w:pPr>
      <w:r w:rsidRPr="00F8618E">
        <w:rPr>
          <w:b/>
          <w:bCs/>
          <w:sz w:val="28"/>
          <w:szCs w:val="28"/>
        </w:rPr>
        <w:t>Modeling Food Insecurity and Housing Insecurity among UTEP students</w:t>
      </w:r>
      <w:r w:rsidR="00584A4C" w:rsidRPr="00F8618E">
        <w:rPr>
          <w:b/>
          <w:bCs/>
          <w:sz w:val="28"/>
          <w:szCs w:val="28"/>
        </w:rPr>
        <w:t xml:space="preserve"> – Variables Characterization</w:t>
      </w:r>
    </w:p>
    <w:p w14:paraId="75EB404C" w14:textId="5D0EAB27" w:rsidR="00A018EA" w:rsidRDefault="00A018EA"/>
    <w:p w14:paraId="16C8E7A3" w14:textId="320DCCC5" w:rsidR="00A018EA" w:rsidRDefault="00A018EA">
      <w:pPr>
        <w:rPr>
          <w:b/>
          <w:bCs/>
        </w:rPr>
      </w:pPr>
      <w:r w:rsidRPr="00A018EA">
        <w:rPr>
          <w:b/>
          <w:bCs/>
        </w:rPr>
        <w:t>RULES FOR DEFINING RESPONSE VARIABLES</w:t>
      </w:r>
    </w:p>
    <w:p w14:paraId="0A50917E" w14:textId="4FEA3549" w:rsidR="00A018EA" w:rsidRDefault="00A018EA">
      <w:pPr>
        <w:rPr>
          <w:b/>
          <w:bCs/>
        </w:rPr>
      </w:pPr>
    </w:p>
    <w:p w14:paraId="670B194B" w14:textId="099B8C74" w:rsidR="00A018EA" w:rsidRPr="00C46560" w:rsidRDefault="00A018EA">
      <w:pPr>
        <w:rPr>
          <w:b/>
          <w:bCs/>
          <w:u w:val="single"/>
        </w:rPr>
      </w:pPr>
      <w:r w:rsidRPr="00C46560">
        <w:rPr>
          <w:b/>
          <w:bCs/>
          <w:u w:val="single"/>
        </w:rPr>
        <w:t>A measure of Food Insecurity</w:t>
      </w:r>
    </w:p>
    <w:p w14:paraId="2F67E747" w14:textId="40205DEB" w:rsidR="00C46560" w:rsidRDefault="00C46560">
      <w:pPr>
        <w:rPr>
          <w:b/>
          <w:bCs/>
        </w:rPr>
      </w:pPr>
    </w:p>
    <w:p w14:paraId="34BFD305" w14:textId="1CBE3B3E" w:rsidR="00C46560" w:rsidRDefault="00C46560">
      <w:r>
        <w:rPr>
          <w:b/>
          <w:bCs/>
        </w:rPr>
        <w:t xml:space="preserve">Q26: </w:t>
      </w:r>
      <w:r w:rsidRPr="00C46560">
        <w:t>"The food that I bought just didn't last, and I didn't have money to get more." Was that often, sometimes, or never true for you in the last 12 months?</w:t>
      </w:r>
    </w:p>
    <w:p w14:paraId="48F38008" w14:textId="408389D3" w:rsidR="00C46560" w:rsidRDefault="00C46560"/>
    <w:p w14:paraId="114B321B" w14:textId="2E1C5B73" w:rsidR="00C46560" w:rsidRDefault="00C46560">
      <w:r w:rsidRPr="00C46560">
        <w:rPr>
          <w:b/>
          <w:bCs/>
        </w:rPr>
        <w:t>Q27</w:t>
      </w:r>
      <w:r>
        <w:t xml:space="preserve">: </w:t>
      </w:r>
      <w:r w:rsidRPr="00C46560">
        <w:t>"I couldn't afford to eat balanced meals." Was that often, sometimes, or never true for you in the last 12 months?</w:t>
      </w:r>
    </w:p>
    <w:p w14:paraId="10ED1688" w14:textId="72862B61" w:rsidR="00C46560" w:rsidRDefault="00C46560"/>
    <w:p w14:paraId="203B2F7C" w14:textId="60DC1237" w:rsidR="00C46560" w:rsidRDefault="00C46560">
      <w:r w:rsidRPr="00C46560">
        <w:rPr>
          <w:b/>
          <w:bCs/>
        </w:rPr>
        <w:t>Q28</w:t>
      </w:r>
      <w:r>
        <w:t xml:space="preserve">: </w:t>
      </w:r>
      <w:r w:rsidRPr="00C46560">
        <w:t>In the last 12 months, since (today's date), did you ever cut the size of your meals or skip meals because there was not enough money for food?</w:t>
      </w:r>
    </w:p>
    <w:p w14:paraId="75B3A723" w14:textId="081FDDC8" w:rsidR="00C46560" w:rsidRDefault="00C46560"/>
    <w:p w14:paraId="498C0312" w14:textId="6450A286" w:rsidR="00C46560" w:rsidRDefault="00C46560">
      <w:r w:rsidRPr="00C46560">
        <w:rPr>
          <w:b/>
          <w:bCs/>
        </w:rPr>
        <w:t>Q30</w:t>
      </w:r>
      <w:r>
        <w:t xml:space="preserve">: </w:t>
      </w:r>
      <w:r w:rsidRPr="00C46560">
        <w:t>In the last 12 months, did you ever eat less than you felt you should because there was not enough money for food?</w:t>
      </w:r>
      <w:r>
        <w:t xml:space="preserve"> </w:t>
      </w:r>
    </w:p>
    <w:p w14:paraId="590CF09A" w14:textId="6077207B" w:rsidR="00C46560" w:rsidRDefault="00C46560"/>
    <w:p w14:paraId="5525F509" w14:textId="14AF16CF" w:rsidR="00C46560" w:rsidRPr="00C46560" w:rsidRDefault="00C46560">
      <w:r w:rsidRPr="00C46560">
        <w:rPr>
          <w:b/>
          <w:bCs/>
        </w:rPr>
        <w:t>Q31</w:t>
      </w:r>
      <w:r>
        <w:t xml:space="preserve">: </w:t>
      </w:r>
      <w:r w:rsidRPr="00C46560">
        <w:t>In the past 12 months, were you ever hungry but didn't eat because there wasn't enough money for food?</w:t>
      </w:r>
    </w:p>
    <w:p w14:paraId="476538C6" w14:textId="5C7C1075" w:rsidR="00DC6318" w:rsidRDefault="00DC6318"/>
    <w:p w14:paraId="1E9039B0" w14:textId="65C85EFD" w:rsidR="00DC6318" w:rsidRDefault="00DC6318">
      <w:r>
        <w:t xml:space="preserve">We construct a measure of food insecurity as a </w:t>
      </w:r>
      <w:r w:rsidR="0018528D">
        <w:t xml:space="preserve">dichotomous </w:t>
      </w:r>
      <w:r>
        <w:t xml:space="preserve">response variable that combines what we consider to be four main dimensions of food insecurity embodied in five of the survey questions, namely, </w:t>
      </w:r>
      <w:r w:rsidR="004A3E5E">
        <w:t>a stable</w:t>
      </w:r>
      <w:r>
        <w:t xml:space="preserve"> source of food (Q26-did food run out?), </w:t>
      </w:r>
      <w:r w:rsidR="009E0AC4">
        <w:t xml:space="preserve">lack of </w:t>
      </w:r>
      <w:r>
        <w:t xml:space="preserve">healthy/balanced meals (Q27), </w:t>
      </w:r>
      <w:r w:rsidR="009E0AC4">
        <w:t xml:space="preserve">inadequate </w:t>
      </w:r>
      <w:r>
        <w:t>size of food – eating less (Q28</w:t>
      </w:r>
      <w:r w:rsidR="002D33DE">
        <w:t xml:space="preserve"> &amp; Q30</w:t>
      </w:r>
      <w:r w:rsidR="00584A4C">
        <w:t>) and</w:t>
      </w:r>
      <w:r w:rsidR="002D33DE">
        <w:t xml:space="preserve"> going hungry (Q31). </w:t>
      </w:r>
      <w:r w:rsidR="00407240">
        <w:t xml:space="preserve">Therefore, an individual who participated in the survey </w:t>
      </w:r>
      <w:r w:rsidR="00D05719">
        <w:t>is</w:t>
      </w:r>
      <w:r w:rsidR="00407240">
        <w:t xml:space="preserve"> classified as being </w:t>
      </w:r>
      <w:r w:rsidR="003E582D">
        <w:t xml:space="preserve">at risk of </w:t>
      </w:r>
      <w:r w:rsidR="00407240">
        <w:t xml:space="preserve">food </w:t>
      </w:r>
      <w:r w:rsidR="003E582D">
        <w:t>insecurity</w:t>
      </w:r>
      <w:r w:rsidR="00407240">
        <w:t xml:space="preserve"> if they answered yes to</w:t>
      </w:r>
      <w:r w:rsidR="003E582D">
        <w:t xml:space="preserve"> all of</w:t>
      </w:r>
      <w:r w:rsidR="00BC6602">
        <w:t xml:space="preserve"> questions Q26, Q27, Q31, </w:t>
      </w:r>
      <w:r w:rsidR="009F192E">
        <w:t>and</w:t>
      </w:r>
      <w:r w:rsidR="0046784A">
        <w:t xml:space="preserve"> </w:t>
      </w:r>
      <w:r w:rsidR="00BC6602">
        <w:t xml:space="preserve">answered yes to either Q28 or Q30 since we see these two questions to be similar in terms of measuring a single dimension of food insecurity. </w:t>
      </w:r>
      <w:r w:rsidR="004A3E5E">
        <w:t xml:space="preserve">That is, an individual that reports four conditions that indicate food insecurity are classified as “food insecure”. </w:t>
      </w:r>
      <w:r w:rsidR="00F92492">
        <w:t xml:space="preserve">Though questions Q26 and Q27 originally have 3 levels, we decided to collapse them into two levels, where those who </w:t>
      </w:r>
      <w:r w:rsidR="00B918FA">
        <w:t>answered,</w:t>
      </w:r>
      <w:r w:rsidR="00F92492">
        <w:t xml:space="preserve"> “</w:t>
      </w:r>
      <w:r w:rsidR="00F92492" w:rsidRPr="001F28B9">
        <w:rPr>
          <w:highlight w:val="yellow"/>
        </w:rPr>
        <w:t xml:space="preserve">Often true”, and “Sometimes true” </w:t>
      </w:r>
      <w:r w:rsidR="00D05719" w:rsidRPr="001F28B9">
        <w:rPr>
          <w:highlight w:val="yellow"/>
        </w:rPr>
        <w:t>are</w:t>
      </w:r>
      <w:r w:rsidR="00F92492" w:rsidRPr="001F28B9">
        <w:rPr>
          <w:highlight w:val="yellow"/>
        </w:rPr>
        <w:t xml:space="preserve"> put in a </w:t>
      </w:r>
      <w:r w:rsidR="00927777" w:rsidRPr="001F28B9">
        <w:rPr>
          <w:highlight w:val="yellow"/>
        </w:rPr>
        <w:t>“Y</w:t>
      </w:r>
      <w:r w:rsidR="00F92492" w:rsidRPr="001F28B9">
        <w:rPr>
          <w:highlight w:val="yellow"/>
        </w:rPr>
        <w:t>es</w:t>
      </w:r>
      <w:r w:rsidR="00927777" w:rsidRPr="001F28B9">
        <w:rPr>
          <w:highlight w:val="yellow"/>
        </w:rPr>
        <w:t>”</w:t>
      </w:r>
      <w:r w:rsidR="00F92492">
        <w:t xml:space="preserve"> group as a sign of food insecurity while those who answered “Never true” will be</w:t>
      </w:r>
      <w:r w:rsidR="0046784A">
        <w:t xml:space="preserve"> in</w:t>
      </w:r>
      <w:r w:rsidR="00F92492">
        <w:t xml:space="preserve"> </w:t>
      </w:r>
      <w:r w:rsidR="00927777">
        <w:t>a “No” category.</w:t>
      </w:r>
      <w:r w:rsidR="008A4FA2">
        <w:t xml:space="preserve"> Thus, our response variable is defined as follows:</w:t>
      </w:r>
    </w:p>
    <w:p w14:paraId="492067B0" w14:textId="7B36B841" w:rsidR="00CA5F13" w:rsidRDefault="00CA5F13"/>
    <w:p w14:paraId="42CEC691" w14:textId="51882E26" w:rsidR="00A018EA" w:rsidRDefault="008A4FA2">
      <m:oMathPara>
        <m:oMath>
          <m:r>
            <w:rPr>
              <w:rFonts w:ascii="Cambria Math" w:hAnsi="Cambria Math"/>
            </w:rPr>
            <m:t>At risk of food insecurity</m:t>
          </m:r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Yes/</m:t>
                  </m:r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 if answered yes to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Q26, Q27, Q31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AND (Q28 OR Q30) </m:t>
                  </m:r>
                </m:e>
                <m:e>
                  <m:r>
                    <w:rPr>
                      <w:rFonts w:ascii="Cambria Math" w:hAnsi="Cambria Math"/>
                    </w:rPr>
                    <m:t>No/</m:t>
                  </m:r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</w:rPr>
                    <m:t xml:space="preserve">  otherwise                  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</m:t>
                  </m:r>
                </m:e>
              </m:eqArr>
            </m:e>
          </m:d>
        </m:oMath>
      </m:oMathPara>
    </w:p>
    <w:p w14:paraId="6ED0F7E4" w14:textId="7871800B" w:rsidR="00A018EA" w:rsidRDefault="00A018EA"/>
    <w:p w14:paraId="406ECFE5" w14:textId="77777777" w:rsidR="00D643A5" w:rsidRDefault="00D643A5">
      <w:pPr>
        <w:rPr>
          <w:b/>
          <w:bCs/>
        </w:rPr>
      </w:pPr>
    </w:p>
    <w:p w14:paraId="5001E620" w14:textId="77777777" w:rsidR="00D643A5" w:rsidRDefault="00D643A5">
      <w:pPr>
        <w:rPr>
          <w:b/>
          <w:bCs/>
        </w:rPr>
      </w:pPr>
    </w:p>
    <w:p w14:paraId="60937670" w14:textId="77777777" w:rsidR="00D643A5" w:rsidRDefault="00D643A5">
      <w:pPr>
        <w:rPr>
          <w:b/>
          <w:bCs/>
        </w:rPr>
      </w:pPr>
    </w:p>
    <w:p w14:paraId="1749878B" w14:textId="77777777" w:rsidR="00D643A5" w:rsidRDefault="00D643A5">
      <w:pPr>
        <w:rPr>
          <w:b/>
          <w:bCs/>
        </w:rPr>
      </w:pPr>
    </w:p>
    <w:p w14:paraId="354A0E39" w14:textId="14338387" w:rsidR="00A80CD2" w:rsidRDefault="00A80CD2">
      <w:pPr>
        <w:rPr>
          <w:b/>
          <w:bCs/>
        </w:rPr>
      </w:pPr>
      <w:r w:rsidRPr="00A80CD2">
        <w:rPr>
          <w:b/>
          <w:bCs/>
        </w:rPr>
        <w:lastRenderedPageBreak/>
        <w:t>A measure of Hous</w:t>
      </w:r>
      <w:r w:rsidR="00EC4BA0">
        <w:rPr>
          <w:b/>
          <w:bCs/>
        </w:rPr>
        <w:t>ing</w:t>
      </w:r>
      <w:r w:rsidRPr="00A80CD2">
        <w:rPr>
          <w:b/>
          <w:bCs/>
        </w:rPr>
        <w:t xml:space="preserve"> Insecurity</w:t>
      </w:r>
    </w:p>
    <w:p w14:paraId="46DF1AFC" w14:textId="781B0844" w:rsidR="00777001" w:rsidRDefault="00777001">
      <w:pPr>
        <w:rPr>
          <w:b/>
          <w:bCs/>
        </w:rPr>
      </w:pPr>
    </w:p>
    <w:p w14:paraId="401906EC" w14:textId="5C4F0FE3" w:rsidR="00777001" w:rsidRPr="00777001" w:rsidRDefault="00777001">
      <w:r>
        <w:t>Taking a similar approach, we make use of the following two survey questions to create an indicator of housing insecurity.</w:t>
      </w:r>
    </w:p>
    <w:p w14:paraId="0FD65D14" w14:textId="2DBD778C" w:rsidR="00674F77" w:rsidRDefault="00674F77">
      <w:pPr>
        <w:rPr>
          <w:b/>
          <w:bCs/>
        </w:rPr>
      </w:pPr>
    </w:p>
    <w:p w14:paraId="58A000F0" w14:textId="60215D97" w:rsidR="00674F77" w:rsidRDefault="00674F77">
      <w:r w:rsidRPr="00C46560">
        <w:rPr>
          <w:b/>
          <w:bCs/>
        </w:rPr>
        <w:t>Q20</w:t>
      </w:r>
      <w:r>
        <w:t xml:space="preserve">: </w:t>
      </w:r>
      <w:r w:rsidRPr="00674F77">
        <w:t>In the past 12 months, have you had a permanent address?</w:t>
      </w:r>
    </w:p>
    <w:p w14:paraId="7B106542" w14:textId="77777777" w:rsidR="00777001" w:rsidRDefault="00777001"/>
    <w:p w14:paraId="5FEE0B1F" w14:textId="4A1218F3" w:rsidR="00C46560" w:rsidRDefault="00C46560">
      <w:r w:rsidRPr="00C46560">
        <w:rPr>
          <w:b/>
          <w:bCs/>
        </w:rPr>
        <w:t>Q22</w:t>
      </w:r>
      <w:r>
        <w:t xml:space="preserve">: </w:t>
      </w:r>
      <w:r w:rsidRPr="00C46560">
        <w:t>Due to lack of permanent address or housing options, how frequently did you spend the night elsewhere in the past six months due to lack of permanent housing?</w:t>
      </w:r>
    </w:p>
    <w:p w14:paraId="33540B8D" w14:textId="3A4C01EE" w:rsidR="00476F86" w:rsidRDefault="00476F86"/>
    <w:p w14:paraId="10F2DBE9" w14:textId="259FEE50" w:rsidR="00476F86" w:rsidRDefault="00476F86">
      <w:r>
        <w:t>----------------</w:t>
      </w:r>
    </w:p>
    <w:p w14:paraId="77B32923" w14:textId="77777777" w:rsidR="000B57D6" w:rsidRDefault="000B57D6"/>
    <w:p w14:paraId="596FB23B" w14:textId="2D1567DD" w:rsidR="000B57D6" w:rsidRDefault="000B57D6"/>
    <w:p w14:paraId="293E4860" w14:textId="5B20F3B0" w:rsidR="000B57D6" w:rsidRPr="000B57D6" w:rsidRDefault="000B57D6">
      <w:pPr>
        <w:rPr>
          <w:b/>
          <w:bCs/>
          <w:u w:val="single"/>
        </w:rPr>
      </w:pPr>
      <w:r w:rsidRPr="000B57D6">
        <w:rPr>
          <w:b/>
          <w:bCs/>
          <w:u w:val="single"/>
        </w:rPr>
        <w:t>Potential Predictor Variables</w:t>
      </w:r>
    </w:p>
    <w:p w14:paraId="6E9B6CCC" w14:textId="5BA9B8A8" w:rsidR="00777001" w:rsidRDefault="00777001"/>
    <w:p w14:paraId="14E73728" w14:textId="5D0250DD" w:rsidR="000B57D6" w:rsidRDefault="000B57D6">
      <w:r>
        <w:t>Q1: Enrollment at UTEP</w:t>
      </w:r>
    </w:p>
    <w:p w14:paraId="3CE51DEE" w14:textId="3CB9FFAA" w:rsidR="000429CA" w:rsidRDefault="000429CA"/>
    <w:p w14:paraId="4691EC2F" w14:textId="03502EB8" w:rsidR="000429CA" w:rsidRDefault="000429CA">
      <w:r>
        <w:t>Q2: Employment</w:t>
      </w:r>
    </w:p>
    <w:p w14:paraId="7A30BA25" w14:textId="3A621E9E" w:rsidR="000B57D6" w:rsidRDefault="000B57D6"/>
    <w:p w14:paraId="613D72EE" w14:textId="351F91AE" w:rsidR="000B57D6" w:rsidRDefault="000B57D6">
      <w:r>
        <w:t xml:space="preserve">Q6: Ethnicity </w:t>
      </w:r>
      <w:r w:rsidR="00B01F07">
        <w:t>[</w:t>
      </w:r>
      <w:r>
        <w:t>Levels: Hispanic/Latin, Black/African American, White/Caucasian, Asian, Other</w:t>
      </w:r>
      <w:r w:rsidR="00B01F07">
        <w:t>]</w:t>
      </w:r>
    </w:p>
    <w:p w14:paraId="280CFA72" w14:textId="14F0A8AE" w:rsidR="000B57D6" w:rsidRDefault="000B57D6"/>
    <w:p w14:paraId="6F83D6B4" w14:textId="3B22C31C" w:rsidR="000B57D6" w:rsidRDefault="000B57D6">
      <w:r>
        <w:t xml:space="preserve">Q7: Gender </w:t>
      </w:r>
      <w:r w:rsidR="00B01F07">
        <w:t>[</w:t>
      </w:r>
      <w:r>
        <w:t>Levels: female, male, and other</w:t>
      </w:r>
      <w:r w:rsidR="00B01F07">
        <w:t>]</w:t>
      </w:r>
    </w:p>
    <w:p w14:paraId="11169113" w14:textId="29C83AE1" w:rsidR="000B57D6" w:rsidRDefault="000B57D6"/>
    <w:p w14:paraId="01878D54" w14:textId="1DA6037E" w:rsidR="000B57D6" w:rsidRDefault="000B57D6">
      <w:r>
        <w:t xml:space="preserve">Q9: Income level </w:t>
      </w:r>
      <w:r w:rsidR="00B01F07">
        <w:t>[</w:t>
      </w:r>
      <w:r>
        <w:t>Levels: maintain first five and collapse the rest into 1 level</w:t>
      </w:r>
      <w:r w:rsidR="00B01F07">
        <w:t>]</w:t>
      </w:r>
      <w:r w:rsidR="000429CA">
        <w:t>: Total income of all members of household.</w:t>
      </w:r>
    </w:p>
    <w:p w14:paraId="5D4AFD2A" w14:textId="20DF0C00" w:rsidR="000B57D6" w:rsidRDefault="000B57D6"/>
    <w:p w14:paraId="113917C3" w14:textId="77777777" w:rsidR="00D643A5" w:rsidRDefault="000B57D6">
      <w:r>
        <w:t xml:space="preserve">Q10: </w:t>
      </w:r>
      <w:r w:rsidR="00D643A5">
        <w:t>Academic level [Undergrads, graduates (masters &amp; doctoral), professional]</w:t>
      </w:r>
    </w:p>
    <w:p w14:paraId="08E46C2F" w14:textId="77777777" w:rsidR="00D643A5" w:rsidRDefault="00D643A5"/>
    <w:p w14:paraId="45E9F6E5" w14:textId="57B807DA" w:rsidR="00C8254E" w:rsidRDefault="00D643A5">
      <w:r>
        <w:t xml:space="preserve">Q12: </w:t>
      </w:r>
      <w:r w:rsidR="00C8254E">
        <w:t>Most common m</w:t>
      </w:r>
      <w:r>
        <w:t>ode of transportation</w:t>
      </w:r>
      <w:r w:rsidR="00476F86">
        <w:t xml:space="preserve"> (Maintain levels as they are)</w:t>
      </w:r>
    </w:p>
    <w:p w14:paraId="1237D215" w14:textId="02831852" w:rsidR="00C8254E" w:rsidRDefault="00C8254E"/>
    <w:p w14:paraId="7A48A71A" w14:textId="2D46D529" w:rsidR="00C8254E" w:rsidRDefault="00C8254E">
      <w:r>
        <w:t xml:space="preserve">Q13: </w:t>
      </w:r>
      <w:r w:rsidR="00B01F07">
        <w:t xml:space="preserve">Reliability of most common mode of travel [Not reliable at all, somewhat reliable, </w:t>
      </w:r>
      <w:proofErr w:type="gramStart"/>
      <w:r w:rsidR="00B01F07">
        <w:t>fairly reliable</w:t>
      </w:r>
      <w:proofErr w:type="gramEnd"/>
      <w:r w:rsidR="00B01F07">
        <w:t>, very reliable]</w:t>
      </w:r>
    </w:p>
    <w:p w14:paraId="00860082" w14:textId="2FCE31B3" w:rsidR="00B01F07" w:rsidRDefault="00B01F07"/>
    <w:p w14:paraId="14557BE5" w14:textId="64491353" w:rsidR="00B01F07" w:rsidRDefault="00B01F07">
      <w:r>
        <w:t xml:space="preserve">Q14: </w:t>
      </w:r>
      <w:r w:rsidR="009E6260">
        <w:t>Living alone [Yes/No]</w:t>
      </w:r>
    </w:p>
    <w:p w14:paraId="6277388F" w14:textId="12C1A4E3" w:rsidR="009E6260" w:rsidRDefault="009E6260"/>
    <w:p w14:paraId="3710EA65" w14:textId="48BB4381" w:rsidR="00655169" w:rsidRDefault="009E6260">
      <w:r>
        <w:t>Q</w:t>
      </w:r>
      <w:r w:rsidR="00616C86">
        <w:t>1</w:t>
      </w:r>
      <w:r>
        <w:t>5:</w:t>
      </w:r>
      <w:r w:rsidR="00616C86">
        <w:t xml:space="preserve"> </w:t>
      </w:r>
      <w:r w:rsidR="00655169">
        <w:t xml:space="preserve">Has Dependents [Yes/No]. </w:t>
      </w:r>
      <w:r w:rsidR="00655169" w:rsidRPr="00655169">
        <w:rPr>
          <w:highlight w:val="yellow"/>
        </w:rPr>
        <w:t>Thinking of combining this with Q16 to create a single variable, number of dependents.</w:t>
      </w:r>
    </w:p>
    <w:p w14:paraId="6989E6EA" w14:textId="77777777" w:rsidR="00655169" w:rsidRDefault="00655169"/>
    <w:p w14:paraId="29DF5143" w14:textId="3A74695C" w:rsidR="009E6260" w:rsidRDefault="00655169">
      <w:r>
        <w:t xml:space="preserve">Q17: </w:t>
      </w:r>
      <w:r w:rsidR="009E6260">
        <w:t xml:space="preserve"> </w:t>
      </w:r>
      <w:r>
        <w:t>Head of Household [Yes/No]</w:t>
      </w:r>
    </w:p>
    <w:p w14:paraId="1EFAB47B" w14:textId="12EAA628" w:rsidR="00655169" w:rsidRDefault="00655169"/>
    <w:p w14:paraId="4EF50D58" w14:textId="5CB78633" w:rsidR="00655169" w:rsidRDefault="00655169">
      <w:r>
        <w:t>Q19: Location/Residence [On-campus, off-campus with family, off-campus not with family</w:t>
      </w:r>
      <w:r w:rsidR="0016243C">
        <w:t>, other</w:t>
      </w:r>
      <w:r>
        <w:t>]</w:t>
      </w:r>
    </w:p>
    <w:p w14:paraId="07A433F0" w14:textId="416936C2" w:rsidR="0016243C" w:rsidRDefault="0016243C"/>
    <w:p w14:paraId="7C668FA2" w14:textId="33AF7C7E" w:rsidR="0016243C" w:rsidRDefault="0016243C">
      <w:r>
        <w:t xml:space="preserve">Q23: </w:t>
      </w:r>
    </w:p>
    <w:p w14:paraId="6E47BD7F" w14:textId="513DA0AB" w:rsidR="0016243C" w:rsidRDefault="0016243C"/>
    <w:p w14:paraId="4449952A" w14:textId="6A2A70C3" w:rsidR="0016243C" w:rsidRDefault="0016243C">
      <w:r>
        <w:t xml:space="preserve">Q25: Federal student aid [Grants, work study, loans (loans &amp; emergency </w:t>
      </w:r>
      <w:proofErr w:type="gramStart"/>
      <w:r>
        <w:t>loan</w:t>
      </w:r>
      <w:proofErr w:type="gramEnd"/>
      <w:r>
        <w:t>), Scholarship (likely to combine this with other forms of aid)]</w:t>
      </w:r>
    </w:p>
    <w:p w14:paraId="7934DD5A" w14:textId="7C1CB0D7" w:rsidR="00734B35" w:rsidRDefault="00734B35"/>
    <w:p w14:paraId="73B91EB7" w14:textId="1FDC4101" w:rsidR="00734B35" w:rsidRDefault="00734B35"/>
    <w:p w14:paraId="5FB673D7" w14:textId="34CECBD0" w:rsidR="00734B35" w:rsidRDefault="00734B35">
      <w:pPr>
        <w:rPr>
          <w:b/>
          <w:bCs/>
        </w:rPr>
      </w:pPr>
      <w:proofErr w:type="spellStart"/>
      <w:r w:rsidRPr="00734B35">
        <w:rPr>
          <w:b/>
          <w:bCs/>
        </w:rPr>
        <w:t>Multi Racial</w:t>
      </w:r>
      <w:proofErr w:type="spellEnd"/>
      <w:r w:rsidRPr="00734B35">
        <w:rPr>
          <w:b/>
          <w:bCs/>
        </w:rPr>
        <w:t xml:space="preserve"> / Ethnicity issues:</w:t>
      </w:r>
    </w:p>
    <w:p w14:paraId="7C6DB171" w14:textId="173D35D0" w:rsidR="00734B35" w:rsidRDefault="00734B35">
      <w:pPr>
        <w:rPr>
          <w:b/>
          <w:bCs/>
        </w:rPr>
      </w:pPr>
    </w:p>
    <w:p w14:paraId="0223516D" w14:textId="0B51A515" w:rsidR="009A6AEF" w:rsidRDefault="00734B35">
      <w:r>
        <w:rPr>
          <w:b/>
          <w:bCs/>
        </w:rPr>
        <w:t xml:space="preserve">636 </w:t>
      </w:r>
      <w:r>
        <w:t>individuals identified themselves as belonging to more than one ethnic group</w:t>
      </w:r>
      <w:r w:rsidR="003526C6">
        <w:t>s</w:t>
      </w:r>
      <w:r w:rsidR="009A6AEF">
        <w:t>/races</w:t>
      </w:r>
      <w:r>
        <w:t>, out of which</w:t>
      </w:r>
      <w:r w:rsidR="009A6AEF">
        <w:t xml:space="preserve"> </w:t>
      </w:r>
      <w:r w:rsidR="009A6AEF" w:rsidRPr="009A6AEF">
        <w:t>592</w:t>
      </w:r>
      <w:r w:rsidR="009A6AEF">
        <w:t xml:space="preserve"> were found to belong to 2 races (mostly</w:t>
      </w:r>
      <w:r>
        <w:t xml:space="preserve"> Hispanic-White/Caucasian</w:t>
      </w:r>
      <w:r w:rsidR="009A6AEF">
        <w:t>)</w:t>
      </w:r>
      <w:r>
        <w:t>,</w:t>
      </w:r>
      <w:r w:rsidR="009A6AEF">
        <w:t xml:space="preserve"> 35 belonging to 3 races, with other breakdowns as presented in the table below.</w:t>
      </w:r>
    </w:p>
    <w:p w14:paraId="5636C037" w14:textId="77777777" w:rsidR="009A6AEF" w:rsidRDefault="009A6A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A6AEF" w14:paraId="1D799DD7" w14:textId="77777777" w:rsidTr="009A6AEF">
        <w:tc>
          <w:tcPr>
            <w:tcW w:w="1558" w:type="dxa"/>
          </w:tcPr>
          <w:p w14:paraId="7066B976" w14:textId="70734CF3" w:rsidR="009A6AEF" w:rsidRDefault="009A6AEF">
            <w:r>
              <w:t>Number of Races</w:t>
            </w:r>
          </w:p>
        </w:tc>
        <w:tc>
          <w:tcPr>
            <w:tcW w:w="1558" w:type="dxa"/>
          </w:tcPr>
          <w:p w14:paraId="2FE5D6CF" w14:textId="296150D5" w:rsidR="009A6AEF" w:rsidRDefault="009A6AEF">
            <w:r>
              <w:t>2</w:t>
            </w:r>
          </w:p>
        </w:tc>
        <w:tc>
          <w:tcPr>
            <w:tcW w:w="1558" w:type="dxa"/>
          </w:tcPr>
          <w:p w14:paraId="1F6E8F41" w14:textId="1CAA20CB" w:rsidR="009A6AEF" w:rsidRDefault="009A6AEF">
            <w:r>
              <w:t>3</w:t>
            </w:r>
          </w:p>
        </w:tc>
        <w:tc>
          <w:tcPr>
            <w:tcW w:w="1558" w:type="dxa"/>
          </w:tcPr>
          <w:p w14:paraId="6F7A7219" w14:textId="0E070300" w:rsidR="009A6AEF" w:rsidRDefault="009A6AEF">
            <w:r>
              <w:t>4</w:t>
            </w:r>
          </w:p>
        </w:tc>
        <w:tc>
          <w:tcPr>
            <w:tcW w:w="1559" w:type="dxa"/>
          </w:tcPr>
          <w:p w14:paraId="47781FD8" w14:textId="3D12527F" w:rsidR="009A6AEF" w:rsidRDefault="009A6AEF">
            <w:r>
              <w:t>5</w:t>
            </w:r>
          </w:p>
        </w:tc>
        <w:tc>
          <w:tcPr>
            <w:tcW w:w="1559" w:type="dxa"/>
          </w:tcPr>
          <w:p w14:paraId="666A778F" w14:textId="5741FCB3" w:rsidR="009A6AEF" w:rsidRDefault="009A6AEF">
            <w:r>
              <w:t>7</w:t>
            </w:r>
          </w:p>
        </w:tc>
      </w:tr>
      <w:tr w:rsidR="009A6AEF" w14:paraId="5C5F1737" w14:textId="77777777" w:rsidTr="009A6AEF">
        <w:tc>
          <w:tcPr>
            <w:tcW w:w="1558" w:type="dxa"/>
          </w:tcPr>
          <w:p w14:paraId="5DA9025E" w14:textId="09D772F2" w:rsidR="009A6AEF" w:rsidRDefault="009A6AEF">
            <w:r>
              <w:t>Respondents</w:t>
            </w:r>
          </w:p>
        </w:tc>
        <w:tc>
          <w:tcPr>
            <w:tcW w:w="1558" w:type="dxa"/>
          </w:tcPr>
          <w:p w14:paraId="37CCB201" w14:textId="55B505BE" w:rsidR="009A6AEF" w:rsidRDefault="009A6AEF">
            <w:r w:rsidRPr="009A6AEF">
              <w:t>592</w:t>
            </w:r>
          </w:p>
        </w:tc>
        <w:tc>
          <w:tcPr>
            <w:tcW w:w="1558" w:type="dxa"/>
          </w:tcPr>
          <w:p w14:paraId="42D5B2BF" w14:textId="3572BE9B" w:rsidR="009A6AEF" w:rsidRDefault="009A6AEF">
            <w:r w:rsidRPr="009A6AEF">
              <w:t xml:space="preserve">35   </w:t>
            </w:r>
          </w:p>
        </w:tc>
        <w:tc>
          <w:tcPr>
            <w:tcW w:w="1558" w:type="dxa"/>
          </w:tcPr>
          <w:p w14:paraId="1B370FD2" w14:textId="3E0ABD70" w:rsidR="009A6AEF" w:rsidRDefault="009A6AEF">
            <w:r>
              <w:t>6</w:t>
            </w:r>
          </w:p>
        </w:tc>
        <w:tc>
          <w:tcPr>
            <w:tcW w:w="1559" w:type="dxa"/>
          </w:tcPr>
          <w:p w14:paraId="2A66BB3D" w14:textId="02F39FB1" w:rsidR="009A6AEF" w:rsidRDefault="009A6AEF">
            <w:r>
              <w:t>1</w:t>
            </w:r>
          </w:p>
        </w:tc>
        <w:tc>
          <w:tcPr>
            <w:tcW w:w="1559" w:type="dxa"/>
          </w:tcPr>
          <w:p w14:paraId="4229E5BB" w14:textId="19885019" w:rsidR="009A6AEF" w:rsidRDefault="009A6AEF">
            <w:r>
              <w:t>2</w:t>
            </w:r>
          </w:p>
        </w:tc>
      </w:tr>
    </w:tbl>
    <w:p w14:paraId="27DC2A60" w14:textId="296282B0" w:rsidR="000B57D6" w:rsidRDefault="00734B35">
      <w:r>
        <w:t xml:space="preserve"> </w:t>
      </w:r>
    </w:p>
    <w:p w14:paraId="433C5C06" w14:textId="77777777" w:rsidR="00EA665F" w:rsidRPr="00674F77" w:rsidRDefault="00EA665F"/>
    <w:p w14:paraId="5D453F49" w14:textId="4499AB69" w:rsidR="003E582D" w:rsidRDefault="003E582D">
      <w:pPr>
        <w:rPr>
          <w:b/>
          <w:bCs/>
        </w:rPr>
      </w:pPr>
    </w:p>
    <w:p w14:paraId="5651B775" w14:textId="1116379D" w:rsidR="003E582D" w:rsidRPr="003E582D" w:rsidRDefault="003E582D"/>
    <w:p w14:paraId="462F1C35" w14:textId="1859F72C" w:rsidR="00A80CD2" w:rsidRDefault="00A80CD2">
      <w:pPr>
        <w:rPr>
          <w:b/>
          <w:bCs/>
        </w:rPr>
      </w:pPr>
    </w:p>
    <w:p w14:paraId="4E6C0543" w14:textId="77777777" w:rsidR="00A80CD2" w:rsidRPr="00A80CD2" w:rsidRDefault="00A80CD2">
      <w:pPr>
        <w:rPr>
          <w:b/>
          <w:bCs/>
        </w:rPr>
      </w:pPr>
    </w:p>
    <w:sectPr w:rsidR="00A80CD2" w:rsidRPr="00A8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EA"/>
    <w:rsid w:val="000429CA"/>
    <w:rsid w:val="00077004"/>
    <w:rsid w:val="000B57D6"/>
    <w:rsid w:val="0016243C"/>
    <w:rsid w:val="0018528D"/>
    <w:rsid w:val="001F28B9"/>
    <w:rsid w:val="002D33DE"/>
    <w:rsid w:val="003526C6"/>
    <w:rsid w:val="003E582D"/>
    <w:rsid w:val="00407240"/>
    <w:rsid w:val="00422630"/>
    <w:rsid w:val="0046784A"/>
    <w:rsid w:val="00476F86"/>
    <w:rsid w:val="004A3E5E"/>
    <w:rsid w:val="00543450"/>
    <w:rsid w:val="00584A4C"/>
    <w:rsid w:val="00616C86"/>
    <w:rsid w:val="006316BB"/>
    <w:rsid w:val="00655169"/>
    <w:rsid w:val="0066770A"/>
    <w:rsid w:val="00674F77"/>
    <w:rsid w:val="00734B35"/>
    <w:rsid w:val="00756BEB"/>
    <w:rsid w:val="00777001"/>
    <w:rsid w:val="007E5679"/>
    <w:rsid w:val="008A4FA2"/>
    <w:rsid w:val="00927777"/>
    <w:rsid w:val="009A6AEF"/>
    <w:rsid w:val="009E0AC4"/>
    <w:rsid w:val="009E6260"/>
    <w:rsid w:val="009F192E"/>
    <w:rsid w:val="00A018EA"/>
    <w:rsid w:val="00A80CD2"/>
    <w:rsid w:val="00B01F07"/>
    <w:rsid w:val="00B918FA"/>
    <w:rsid w:val="00BC6602"/>
    <w:rsid w:val="00BD4884"/>
    <w:rsid w:val="00C35902"/>
    <w:rsid w:val="00C46560"/>
    <w:rsid w:val="00C470B9"/>
    <w:rsid w:val="00C7018B"/>
    <w:rsid w:val="00C8254E"/>
    <w:rsid w:val="00CA5F13"/>
    <w:rsid w:val="00D05719"/>
    <w:rsid w:val="00D643A5"/>
    <w:rsid w:val="00D77721"/>
    <w:rsid w:val="00DC6318"/>
    <w:rsid w:val="00EA665F"/>
    <w:rsid w:val="00EC4BA0"/>
    <w:rsid w:val="00F8618E"/>
    <w:rsid w:val="00F876FF"/>
    <w:rsid w:val="00F9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77B74"/>
  <w15:chartTrackingRefBased/>
  <w15:docId w15:val="{444329D1-B01F-F645-84CB-CE82E4A2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4FA2"/>
    <w:rPr>
      <w:color w:val="808080"/>
    </w:rPr>
  </w:style>
  <w:style w:type="table" w:styleId="TableGrid">
    <w:name w:val="Table Grid"/>
    <w:basedOn w:val="TableNormal"/>
    <w:uiPriority w:val="39"/>
    <w:rsid w:val="009A6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2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3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Agyapong, William Ofosu Mr.</dc:creator>
  <cp:keywords/>
  <dc:description/>
  <cp:lastModifiedBy>Agyapong, William Ofosu Mr.</cp:lastModifiedBy>
  <cp:revision>40</cp:revision>
  <dcterms:created xsi:type="dcterms:W3CDTF">2021-11-08T01:28:00Z</dcterms:created>
  <dcterms:modified xsi:type="dcterms:W3CDTF">2021-11-15T10:53:00Z</dcterms:modified>
</cp:coreProperties>
</file>