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6E73" w14:textId="43AA0A97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>.</w:t>
      </w:r>
      <w:r w:rsidR="00064521">
        <w:rPr>
          <w:b/>
          <w:bCs/>
        </w:rPr>
        <w:t xml:space="preserve"> </w:t>
      </w:r>
      <w:r w:rsidRPr="00B1331B">
        <w:rPr>
          <w:b/>
          <w:bCs/>
        </w:rPr>
        <w:t xml:space="preserve">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2E95C52C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2F34DC">
        <w:t>06/05/2020</w:t>
      </w:r>
    </w:p>
    <w:p w14:paraId="6C126008" w14:textId="5A847539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1B6B6D">
        <w:t>Bogotá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6F94D9E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</w:t>
      </w:r>
      <w:r w:rsidR="00064521">
        <w:t>necesaria</w:t>
      </w:r>
      <w:r w:rsidR="00064521" w:rsidRPr="00B1331B">
        <w:t xml:space="preserve"> </w:t>
      </w:r>
      <w:r w:rsidRPr="00B1331B">
        <w:t xml:space="preserve">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2229"/>
        <w:gridCol w:w="774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5CB9BC9E" w:rsidR="008A1366" w:rsidRPr="00B1331B" w:rsidRDefault="002F34DC" w:rsidP="008A1366">
            <w:pPr>
              <w:rPr>
                <w:b/>
                <w:bCs/>
              </w:rPr>
            </w:pPr>
            <w:r w:rsidRPr="00D6444D">
              <w:rPr>
                <w:rFonts w:eastAsia="Times New Roman"/>
              </w:rPr>
              <w:t>Superintendencia del Subsidio Familiar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37AB4625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_____</w:t>
            </w:r>
          </w:p>
          <w:p w14:paraId="4F7A0059" w14:textId="7446DAA2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Sector: ______________________________________</w:t>
            </w:r>
          </w:p>
          <w:p w14:paraId="5FC5C3AC" w14:textId="7EE528B6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Entidad pública:      </w:t>
            </w:r>
            <w:r w:rsidRPr="002F34DC">
              <w:rPr>
                <w:rFonts w:cs="Arial"/>
                <w:b/>
              </w:rPr>
              <w:t>__</w:t>
            </w:r>
            <w:r w:rsidR="002F34DC" w:rsidRPr="002F34DC">
              <w:rPr>
                <w:rFonts w:cs="Arial"/>
                <w:b/>
              </w:rPr>
              <w:t>X</w:t>
            </w:r>
            <w:r w:rsidRPr="002F34DC">
              <w:rPr>
                <w:rFonts w:cs="Arial"/>
                <w:b/>
              </w:rPr>
              <w:t>____</w:t>
            </w:r>
          </w:p>
          <w:p w14:paraId="65D01278" w14:textId="59C87AAF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233F7C53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r w:rsidRPr="00B1331B">
              <w:rPr>
                <w:rFonts w:cs="Arial"/>
              </w:rPr>
              <w:t>Otra - Cual?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4F9DB314" w:rsidR="008A1366" w:rsidRPr="00B1331B" w:rsidRDefault="002F34DC" w:rsidP="008A1366">
            <w:pPr>
              <w:rPr>
                <w:b/>
                <w:bCs/>
              </w:rPr>
            </w:pPr>
            <w:r w:rsidRPr="00D6444D">
              <w:rPr>
                <w:rFonts w:eastAsia="Times New Roman"/>
              </w:rPr>
              <w:t>Superintendencia Delegada para Estudios Especial</w:t>
            </w:r>
            <w:r>
              <w:rPr>
                <w:rFonts w:eastAsia="Times New Roman"/>
              </w:rPr>
              <w:t>es y la Evaluación de Proyectos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6FEBED97" w:rsidR="008A1366" w:rsidRPr="00C90F82" w:rsidRDefault="002F34DC" w:rsidP="008A1366">
            <w:pPr>
              <w:rPr>
                <w:bCs/>
              </w:rPr>
            </w:pPr>
            <w:r w:rsidRPr="00C90F82">
              <w:rPr>
                <w:bCs/>
              </w:rPr>
              <w:t>Fernando Uribe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2D3388D6" w:rsidR="008A1366" w:rsidRPr="00C90F82" w:rsidRDefault="002F34DC" w:rsidP="002F34DC">
            <w:pPr>
              <w:rPr>
                <w:bCs/>
              </w:rPr>
            </w:pPr>
            <w:r w:rsidRPr="00C90F82">
              <w:rPr>
                <w:bCs/>
              </w:rPr>
              <w:t>Jefe Oficina de Tecnologías de la Información y las Comunicaciones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2AA71948" w:rsidR="008A1366" w:rsidRPr="00C90F82" w:rsidRDefault="002F34DC" w:rsidP="008A1366">
            <w:pPr>
              <w:rPr>
                <w:bCs/>
              </w:rPr>
            </w:pPr>
            <w:r w:rsidRPr="00C90F82">
              <w:rPr>
                <w:bCs/>
              </w:rPr>
              <w:t>furibeg@ssf.gov.co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C90F82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Cs/>
              </w:rPr>
            </w:pPr>
            <w:r w:rsidRPr="00C90F82">
              <w:rPr>
                <w:rFonts w:cs="Arial"/>
              </w:rPr>
              <w:t xml:space="preserve">Un punto de </w:t>
            </w:r>
            <w:r w:rsidRPr="00C90F82">
              <w:rPr>
                <w:rFonts w:cs="Arial"/>
                <w:bCs/>
              </w:rPr>
              <w:t>contacto técnico</w:t>
            </w:r>
            <w:r w:rsidRPr="00C90F82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678199AC" w:rsidR="008A1366" w:rsidRPr="00C90F82" w:rsidRDefault="002F34DC" w:rsidP="008A1366">
            <w:pPr>
              <w:rPr>
                <w:bCs/>
              </w:rPr>
            </w:pPr>
            <w:r w:rsidRPr="00C90F82">
              <w:rPr>
                <w:bCs/>
              </w:rPr>
              <w:t>Victor Villamil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lastRenderedPageBreak/>
              <w:t>Cargo</w:t>
            </w:r>
          </w:p>
        </w:tc>
        <w:tc>
          <w:tcPr>
            <w:tcW w:w="6006" w:type="dxa"/>
            <w:vAlign w:val="center"/>
          </w:tcPr>
          <w:p w14:paraId="605D6967" w14:textId="25B2F29F" w:rsidR="008A1366" w:rsidRPr="00C90F82" w:rsidRDefault="002F34DC" w:rsidP="002F34DC">
            <w:pPr>
              <w:rPr>
                <w:bCs/>
              </w:rPr>
            </w:pPr>
            <w:r w:rsidRPr="00C90F82">
              <w:rPr>
                <w:bCs/>
              </w:rPr>
              <w:t>Profesional Especializado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09B2D8CB" w:rsidR="008A1366" w:rsidRPr="00C90F82" w:rsidRDefault="002F34DC" w:rsidP="008A1366">
            <w:pPr>
              <w:rPr>
                <w:bCs/>
              </w:rPr>
            </w:pPr>
            <w:r w:rsidRPr="00C90F82">
              <w:rPr>
                <w:bCs/>
              </w:rPr>
              <w:t>vvillamila@ssf.gov.co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0E92136B" w14:textId="77777777" w:rsidR="00767DB9" w:rsidRPr="002F34DC" w:rsidRDefault="002F34DC" w:rsidP="00767DB9">
            <w:pPr>
              <w:rPr>
                <w:bCs/>
              </w:rPr>
            </w:pPr>
            <w:r w:rsidRPr="002F34DC">
              <w:rPr>
                <w:bCs/>
              </w:rPr>
              <w:t>La Superintendencia del Subsidio Familiar está encargada de vigilar la organización y funcionamiento del sistema de Subsidio Familiar. Tiene a su cargo la supervisión de las cajas de compensación familiar, organizaciones y entidades recaudadoras y pagadoras del subsidio familiar en cuanto al cumplimiento de este servicio y sobre las entidades que constituyan o administren una o varias entidades sometidas a su vigilancia, con el fin de preservar la estabilidad, seguridad y confianza del sistema del subsidio familiar; para que los servicios sociales a su cargo lleguen a la población de trabajadores afiliados y sus familias bajo los principios de eficiencia, eficacia, efectividad y solidaridad (Decreto 2150 de 1992).</w:t>
            </w:r>
          </w:p>
          <w:p w14:paraId="14FFB482" w14:textId="77777777" w:rsidR="002F34DC" w:rsidRPr="002F34DC" w:rsidRDefault="002F34DC" w:rsidP="00767DB9">
            <w:pPr>
              <w:rPr>
                <w:bCs/>
              </w:rPr>
            </w:pPr>
          </w:p>
          <w:p w14:paraId="72739224" w14:textId="347BF55F" w:rsidR="002F34DC" w:rsidRPr="002F34DC" w:rsidRDefault="002F34DC" w:rsidP="002F34DC">
            <w:pPr>
              <w:rPr>
                <w:bCs/>
              </w:rPr>
            </w:pPr>
            <w:r w:rsidRPr="002F34DC">
              <w:rPr>
                <w:bCs/>
              </w:rPr>
              <w:t>Son funciones de la Superintendencia Delegada para Estudios Especiales y la Evaluación de Proyectos, realizar la evaluación y conceptuar sobre los planes, programas y proyectos de inversión para obras o servicios sociales que desarrollen las Cajas de Compensación. Para esto, debe realizar estudios económicos, financieros, administrativos y de operación de los servicios y programas sociales de las Cajas de Compensación Familiar. Realizar las evaluaciones de resultado y de impacto de los planes, programas y servicios sociales a cargo de las Cajas de Compensación Familiar</w:t>
            </w:r>
            <w:r w:rsidR="0000335C">
              <w:rPr>
                <w:bCs/>
              </w:rPr>
              <w:t xml:space="preserve"> - CCF</w:t>
            </w:r>
            <w:r w:rsidRPr="002F34DC">
              <w:rPr>
                <w:bCs/>
              </w:rPr>
              <w:t>.</w:t>
            </w:r>
          </w:p>
          <w:p w14:paraId="46E271B5" w14:textId="73A1EA52" w:rsidR="002F34DC" w:rsidRPr="002F34DC" w:rsidRDefault="002F34DC" w:rsidP="00767DB9">
            <w:pPr>
              <w:rPr>
                <w:bCs/>
              </w:rPr>
            </w:pP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16EB4B8E" w14:textId="0F878171" w:rsidR="00767DB9" w:rsidRDefault="0081344E" w:rsidP="0081344E">
            <w:pPr>
              <w:rPr>
                <w:bCs/>
              </w:rPr>
            </w:pPr>
            <w:r>
              <w:rPr>
                <w:bCs/>
              </w:rPr>
              <w:t>M</w:t>
            </w:r>
            <w:r w:rsidRPr="0081344E">
              <w:rPr>
                <w:bCs/>
              </w:rPr>
              <w:t>edición de la percepción de los ciudadanos respecto a los servicios de las Cajas de Compensación,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mediante el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uso de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técnicas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estadísticas y computacionales de Análisis de Sentimiento, a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partir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>de</w:t>
            </w:r>
            <w:r w:rsidR="00064521">
              <w:rPr>
                <w:bCs/>
              </w:rPr>
              <w:t xml:space="preserve"> </w:t>
            </w:r>
            <w:r w:rsidRPr="0081344E">
              <w:rPr>
                <w:bCs/>
              </w:rPr>
              <w:t xml:space="preserve">la información </w:t>
            </w:r>
            <w:r>
              <w:rPr>
                <w:bCs/>
              </w:rPr>
              <w:t xml:space="preserve">de </w:t>
            </w:r>
            <w:r w:rsidRPr="0081344E">
              <w:rPr>
                <w:bCs/>
              </w:rPr>
              <w:t>las red</w:t>
            </w:r>
            <w:r>
              <w:rPr>
                <w:bCs/>
              </w:rPr>
              <w:t xml:space="preserve">es sociales (Facebook y Twitter) de las Cajas de </w:t>
            </w:r>
            <w:r w:rsidR="000E6368">
              <w:rPr>
                <w:bCs/>
              </w:rPr>
              <w:t>Compensación</w:t>
            </w:r>
            <w:r>
              <w:rPr>
                <w:bCs/>
              </w:rPr>
              <w:t xml:space="preserve"> Familiar</w:t>
            </w:r>
            <w:r w:rsidRPr="0081344E">
              <w:rPr>
                <w:bCs/>
              </w:rPr>
              <w:t>.</w:t>
            </w:r>
          </w:p>
          <w:p w14:paraId="5BBE34F7" w14:textId="77777777" w:rsidR="0081344E" w:rsidRDefault="0081344E" w:rsidP="0081344E">
            <w:pPr>
              <w:rPr>
                <w:bCs/>
              </w:rPr>
            </w:pPr>
          </w:p>
          <w:p w14:paraId="5766F18C" w14:textId="6BCC28D8" w:rsidR="000E6368" w:rsidRDefault="0081344E" w:rsidP="000E6368">
            <w:pPr>
              <w:rPr>
                <w:bCs/>
              </w:rPr>
            </w:pPr>
            <w:r w:rsidRPr="0081344E">
              <w:rPr>
                <w:bCs/>
              </w:rPr>
              <w:t>El análisis de sentimientos</w:t>
            </w:r>
            <w:r>
              <w:rPr>
                <w:bCs/>
              </w:rPr>
              <w:t xml:space="preserve"> (minería de opinión) busca la </w:t>
            </w:r>
            <w:r w:rsidRPr="0081344E">
              <w:rPr>
                <w:bCs/>
              </w:rPr>
              <w:t>clasificación masiva de documentos de manera automática, en función de la connotación positiva o negativa del lenguaje ocupado en el mismo.</w:t>
            </w:r>
            <w:r w:rsidR="000E6368">
              <w:rPr>
                <w:bCs/>
              </w:rPr>
              <w:t xml:space="preserve"> En particular, en </w:t>
            </w:r>
            <w:r w:rsidRPr="0081344E">
              <w:rPr>
                <w:bCs/>
              </w:rPr>
              <w:t xml:space="preserve">las redes sociales, los usuarios tienen hoy en día </w:t>
            </w:r>
            <w:r w:rsidR="001B6B6D">
              <w:rPr>
                <w:bCs/>
              </w:rPr>
              <w:t>diferentes</w:t>
            </w:r>
            <w:r w:rsidR="001B6B6D" w:rsidRPr="0081344E">
              <w:rPr>
                <w:bCs/>
              </w:rPr>
              <w:t xml:space="preserve"> tipos</w:t>
            </w:r>
            <w:r w:rsidRPr="0081344E">
              <w:rPr>
                <w:bCs/>
              </w:rPr>
              <w:t xml:space="preserve"> de </w:t>
            </w:r>
            <w:r w:rsidR="001B6B6D">
              <w:rPr>
                <w:bCs/>
              </w:rPr>
              <w:t>opciones</w:t>
            </w:r>
            <w:r w:rsidRPr="0081344E">
              <w:rPr>
                <w:bCs/>
              </w:rPr>
              <w:t xml:space="preserve"> para mostrar sus opiniones sobre </w:t>
            </w:r>
            <w:r w:rsidR="000E6368">
              <w:rPr>
                <w:bCs/>
              </w:rPr>
              <w:t>los servicios de las Cajas de Compensación</w:t>
            </w:r>
            <w:r w:rsidRPr="0081344E">
              <w:rPr>
                <w:bCs/>
              </w:rPr>
              <w:t xml:space="preserve">. </w:t>
            </w:r>
          </w:p>
          <w:p w14:paraId="167F58D6" w14:textId="77777777" w:rsidR="00201F71" w:rsidRDefault="00201F71" w:rsidP="000E6368">
            <w:pPr>
              <w:rPr>
                <w:bCs/>
              </w:rPr>
            </w:pPr>
          </w:p>
          <w:p w14:paraId="66F12B73" w14:textId="4D1CB990" w:rsidR="00201F71" w:rsidRDefault="00201F71" w:rsidP="000E6368">
            <w:pPr>
              <w:rPr>
                <w:bCs/>
              </w:rPr>
            </w:pPr>
            <w:r>
              <w:rPr>
                <w:bCs/>
              </w:rPr>
              <w:t>El proyecto debe considerar:</w:t>
            </w:r>
          </w:p>
          <w:p w14:paraId="4807E8A8" w14:textId="77777777" w:rsidR="00201F71" w:rsidRPr="00201F71" w:rsidRDefault="00201F71" w:rsidP="00201F71">
            <w:pPr>
              <w:jc w:val="both"/>
              <w:rPr>
                <w:bCs/>
              </w:rPr>
            </w:pPr>
          </w:p>
          <w:p w14:paraId="18AA7AD5" w14:textId="5C7D8EBC" w:rsidR="00201F71" w:rsidRPr="00201F71" w:rsidRDefault="00201F71" w:rsidP="001C39DE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01F71">
              <w:rPr>
                <w:bCs/>
              </w:rPr>
              <w:t>Desarrollar diccionarios de texto, que permitan transformar datos textuales en estructuras adecuadas para el entrenamiento de las máquinas de aprendizaje.</w:t>
            </w:r>
            <w:r w:rsidR="00064521">
              <w:rPr>
                <w:bCs/>
              </w:rPr>
              <w:t xml:space="preserve"> </w:t>
            </w:r>
          </w:p>
          <w:p w14:paraId="5E1E210D" w14:textId="57D9B576" w:rsidR="00201F71" w:rsidRPr="00201F71" w:rsidRDefault="00201F71" w:rsidP="007426AD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01F71">
              <w:rPr>
                <w:bCs/>
              </w:rPr>
              <w:t>Etiquetado de las opiniones requeridas para el entrenamiento de las máquinas de aprendizaje.</w:t>
            </w:r>
            <w:r w:rsidR="00064521">
              <w:rPr>
                <w:bCs/>
              </w:rPr>
              <w:t xml:space="preserve"> </w:t>
            </w:r>
          </w:p>
          <w:p w14:paraId="207119CF" w14:textId="6BA90F4C" w:rsidR="0081344E" w:rsidRPr="00BA05F0" w:rsidRDefault="00201F71" w:rsidP="00201F71">
            <w:pPr>
              <w:pStyle w:val="Prrafodelista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01F71">
              <w:rPr>
                <w:bCs/>
              </w:rPr>
              <w:t>Diseñar y entrenar las máquinas de aprendizaje.</w:t>
            </w:r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2764CED8" w14:textId="77777777" w:rsidR="002F34DC" w:rsidRDefault="006F6339" w:rsidP="006F6339">
            <w:pPr>
              <w:rPr>
                <w:bCs/>
              </w:rPr>
            </w:pPr>
            <w:r>
              <w:rPr>
                <w:bCs/>
              </w:rPr>
              <w:t>El sistema de Subsidio Familiar</w:t>
            </w:r>
            <w:r w:rsidRPr="006F6339">
              <w:rPr>
                <w:bCs/>
              </w:rPr>
              <w:t xml:space="preserve"> en Colombia desempeña una función social de vital importancia en la economía de los hogares del país.</w:t>
            </w:r>
            <w:r>
              <w:rPr>
                <w:bCs/>
              </w:rPr>
              <w:t xml:space="preserve"> Actualmente </w:t>
            </w:r>
            <w:r w:rsidRPr="006F6339">
              <w:rPr>
                <w:bCs/>
              </w:rPr>
              <w:t>las 43 Cajas de Compensación Familiar tienen más de 676.000 empresas afiliadas, más de 9.700.000 cotizantes y más de 11.400.000 beneficiarios.</w:t>
            </w:r>
          </w:p>
          <w:p w14:paraId="615FF641" w14:textId="77777777" w:rsidR="004D48D4" w:rsidRDefault="004D48D4" w:rsidP="006F6339">
            <w:pPr>
              <w:rPr>
                <w:bCs/>
              </w:rPr>
            </w:pPr>
          </w:p>
          <w:p w14:paraId="30A9042F" w14:textId="77777777" w:rsidR="004D48D4" w:rsidRDefault="004D48D4" w:rsidP="004D48D4">
            <w:pPr>
              <w:rPr>
                <w:bCs/>
              </w:rPr>
            </w:pPr>
            <w:r>
              <w:rPr>
                <w:bCs/>
              </w:rPr>
              <w:t xml:space="preserve">El sistema propende por </w:t>
            </w:r>
            <w:r w:rsidRPr="004D48D4">
              <w:rPr>
                <w:bCs/>
              </w:rPr>
              <w:t>mejorar la calidad de vida de las familias de los trabajadores colombianos, por medio de la gestión y entrega de subsidios y servicios de una parte de los aportes de seguridad social que realizan los empleadores.</w:t>
            </w:r>
          </w:p>
          <w:p w14:paraId="5F125C35" w14:textId="77777777" w:rsidR="004D48D4" w:rsidRDefault="004D48D4" w:rsidP="004D48D4">
            <w:pPr>
              <w:rPr>
                <w:bCs/>
              </w:rPr>
            </w:pPr>
          </w:p>
          <w:p w14:paraId="6D5E0D70" w14:textId="77777777" w:rsidR="0010082C" w:rsidRPr="0010082C" w:rsidRDefault="0010082C" w:rsidP="0010082C">
            <w:pPr>
              <w:rPr>
                <w:bCs/>
              </w:rPr>
            </w:pPr>
            <w:r w:rsidRPr="0010082C">
              <w:rPr>
                <w:bCs/>
              </w:rPr>
              <w:t>Entre los diferentes tipos de beneficios que disponen y otorgan las cajas de compensación se pueden encontrar los beneficios en los siguientes aspectos:</w:t>
            </w:r>
          </w:p>
          <w:p w14:paraId="4C366E1C" w14:textId="77777777" w:rsidR="0010082C" w:rsidRPr="0010082C" w:rsidRDefault="0010082C" w:rsidP="0010082C">
            <w:pPr>
              <w:rPr>
                <w:bCs/>
              </w:rPr>
            </w:pPr>
          </w:p>
          <w:p w14:paraId="5F2AFBB7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Salud</w:t>
            </w:r>
          </w:p>
          <w:p w14:paraId="0F0789A1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Educación</w:t>
            </w:r>
          </w:p>
          <w:p w14:paraId="2F37996A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Recreación</w:t>
            </w:r>
          </w:p>
          <w:p w14:paraId="03054CA1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Cultura</w:t>
            </w:r>
          </w:p>
          <w:p w14:paraId="7D597D26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Turismo</w:t>
            </w:r>
          </w:p>
          <w:p w14:paraId="6D2311A4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Deportes</w:t>
            </w:r>
          </w:p>
          <w:p w14:paraId="7568B4A4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Vivienda</w:t>
            </w:r>
          </w:p>
          <w:p w14:paraId="4CE6DF5A" w14:textId="77777777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Crédito</w:t>
            </w:r>
          </w:p>
          <w:p w14:paraId="4855C97F" w14:textId="50136F90" w:rsidR="0010082C" w:rsidRPr="00B60CAD" w:rsidRDefault="0010082C" w:rsidP="00B60CA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B60CAD">
              <w:rPr>
                <w:bCs/>
              </w:rPr>
              <w:t>Microcrédito.</w:t>
            </w:r>
          </w:p>
          <w:p w14:paraId="29D336F3" w14:textId="77777777" w:rsidR="0010082C" w:rsidRDefault="0010082C" w:rsidP="0010082C">
            <w:pPr>
              <w:rPr>
                <w:bCs/>
              </w:rPr>
            </w:pPr>
          </w:p>
          <w:p w14:paraId="14ABC86C" w14:textId="58D977BB" w:rsidR="0010082C" w:rsidRDefault="0010082C" w:rsidP="0010082C">
            <w:pPr>
              <w:rPr>
                <w:bCs/>
              </w:rPr>
            </w:pPr>
            <w:r>
              <w:rPr>
                <w:bCs/>
              </w:rPr>
              <w:t>A continuación, presentamos algunos de los beneficios que obtiene la población Colombiana de este sistema.</w:t>
            </w:r>
          </w:p>
          <w:p w14:paraId="6210A23B" w14:textId="77777777" w:rsidR="0010082C" w:rsidRDefault="0010082C" w:rsidP="0010082C">
            <w:pPr>
              <w:rPr>
                <w:bCs/>
              </w:rPr>
            </w:pPr>
          </w:p>
          <w:p w14:paraId="50AB19CC" w14:textId="77777777" w:rsidR="0010082C" w:rsidRDefault="0010082C" w:rsidP="0010082C">
            <w:pPr>
              <w:rPr>
                <w:bCs/>
              </w:rPr>
            </w:pPr>
          </w:p>
          <w:p w14:paraId="1D349A4C" w14:textId="4FAC0355" w:rsidR="0010082C" w:rsidRDefault="0010082C" w:rsidP="0010082C">
            <w:pPr>
              <w:rPr>
                <w:bCs/>
              </w:rPr>
            </w:pPr>
            <w:r>
              <w:rPr>
                <w:bCs/>
              </w:rPr>
              <w:t>Dentro de los beneficios directos recibidos a través de los Foniñez, están los siguientes:</w:t>
            </w:r>
          </w:p>
          <w:p w14:paraId="06101EE5" w14:textId="77777777" w:rsidR="0010082C" w:rsidRDefault="0010082C" w:rsidP="0010082C">
            <w:pPr>
              <w:rPr>
                <w:bCs/>
              </w:rPr>
            </w:pPr>
          </w:p>
          <w:p w14:paraId="0284C758" w14:textId="77777777" w:rsidR="004D48D4" w:rsidRDefault="0010082C" w:rsidP="004D48D4">
            <w:pPr>
              <w:rPr>
                <w:bCs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3E1C4E0E" wp14:editId="12DE85FF">
                  <wp:extent cx="4773930" cy="2405871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589" cy="240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02C0C" w14:textId="77777777" w:rsidR="0010082C" w:rsidRDefault="0010082C" w:rsidP="004D48D4">
            <w:pPr>
              <w:rPr>
                <w:bCs/>
              </w:rPr>
            </w:pPr>
          </w:p>
          <w:p w14:paraId="4506A13A" w14:textId="28376459" w:rsidR="0010082C" w:rsidRDefault="0010082C" w:rsidP="004D48D4">
            <w:pPr>
              <w:rPr>
                <w:bCs/>
              </w:rPr>
            </w:pPr>
            <w:r>
              <w:rPr>
                <w:bCs/>
              </w:rPr>
              <w:t>Los beneficios de los fondos de la Ley 115 de 1994 están los siguientes:</w:t>
            </w:r>
          </w:p>
          <w:p w14:paraId="26EFBEFA" w14:textId="77777777" w:rsidR="0010082C" w:rsidRDefault="0010082C" w:rsidP="004D48D4">
            <w:pPr>
              <w:rPr>
                <w:bCs/>
              </w:rPr>
            </w:pPr>
          </w:p>
          <w:p w14:paraId="567E4739" w14:textId="6CEA42A2" w:rsidR="0010082C" w:rsidRDefault="0010082C" w:rsidP="004D48D4">
            <w:pPr>
              <w:rPr>
                <w:bCs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20B2A7F" wp14:editId="4B523B05">
                  <wp:extent cx="4682127" cy="2314575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387" cy="231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408E3" w14:textId="77777777" w:rsidR="0010082C" w:rsidRDefault="0010082C" w:rsidP="004D48D4">
            <w:pPr>
              <w:rPr>
                <w:bCs/>
              </w:rPr>
            </w:pPr>
          </w:p>
          <w:p w14:paraId="63E8CB06" w14:textId="3ECF5D67" w:rsidR="00B60CAD" w:rsidRDefault="00B60CAD" w:rsidP="00B60CAD">
            <w:pPr>
              <w:rPr>
                <w:bCs/>
              </w:rPr>
            </w:pPr>
            <w:r>
              <w:rPr>
                <w:bCs/>
              </w:rPr>
              <w:t>Los beneficios de FOVIS están los siguientes:</w:t>
            </w:r>
          </w:p>
          <w:p w14:paraId="5AB5A5A2" w14:textId="77777777" w:rsidR="0010082C" w:rsidRDefault="0010082C" w:rsidP="004D48D4">
            <w:pPr>
              <w:rPr>
                <w:bCs/>
              </w:rPr>
            </w:pPr>
          </w:p>
          <w:p w14:paraId="05A02866" w14:textId="77777777" w:rsidR="0010082C" w:rsidRDefault="0010082C" w:rsidP="004D48D4">
            <w:pPr>
              <w:rPr>
                <w:bCs/>
              </w:rPr>
            </w:pPr>
          </w:p>
          <w:p w14:paraId="6C3A7DC9" w14:textId="4F7A67A2" w:rsidR="0010082C" w:rsidRDefault="00B60CAD" w:rsidP="0081344E">
            <w:pPr>
              <w:jc w:val="center"/>
              <w:rPr>
                <w:bCs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25E69D87" wp14:editId="1B35F832">
                  <wp:extent cx="3038475" cy="3857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F140E" w14:textId="2431EF3E" w:rsidR="00B60CAD" w:rsidRDefault="00B60CAD" w:rsidP="00B60CAD">
            <w:pPr>
              <w:rPr>
                <w:bCs/>
              </w:rPr>
            </w:pPr>
            <w:r>
              <w:rPr>
                <w:bCs/>
              </w:rPr>
              <w:t>Los beneficios de los fondos de FOSFEC están los siguientes:</w:t>
            </w:r>
          </w:p>
          <w:p w14:paraId="1AF872B8" w14:textId="5CD8187E" w:rsidR="0010082C" w:rsidRDefault="00B60CAD" w:rsidP="004D48D4">
            <w:pPr>
              <w:rPr>
                <w:bCs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69307DBA" wp14:editId="2EDEB623">
                  <wp:extent cx="4743450" cy="3439645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071" cy="344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87F32" w14:textId="77777777" w:rsidR="0010082C" w:rsidRDefault="00B60CAD" w:rsidP="00102F33">
            <w:pPr>
              <w:rPr>
                <w:bCs/>
              </w:rPr>
            </w:pPr>
            <w:r>
              <w:rPr>
                <w:bCs/>
              </w:rPr>
              <w:t xml:space="preserve">Vale la pena resaltar, </w:t>
            </w:r>
            <w:r w:rsidR="00102F33">
              <w:rPr>
                <w:bCs/>
              </w:rPr>
              <w:t>e</w:t>
            </w:r>
            <w:r w:rsidR="00102F33" w:rsidRPr="00102F33">
              <w:rPr>
                <w:bCs/>
              </w:rPr>
              <w:t>l ‘Subsidio de Emergencia’</w:t>
            </w:r>
            <w:r w:rsidR="00102F33">
              <w:rPr>
                <w:bCs/>
              </w:rPr>
              <w:t xml:space="preserve">, el cual </w:t>
            </w:r>
            <w:r w:rsidR="00102F33" w:rsidRPr="00102F33">
              <w:rPr>
                <w:bCs/>
              </w:rPr>
              <w:t>es un beneficio que estableció el Gobierno Nacional mediante el Decreto 488 de 27 de marzo de 2020 como una medida de orden laboral, dentro del Estado de Emergencia, Económica, Social y Ecológica que atraviesa el país por la propagación del Coronavirus.</w:t>
            </w:r>
            <w:r w:rsidR="00102F33">
              <w:rPr>
                <w:bCs/>
              </w:rPr>
              <w:t xml:space="preserve"> Este beneficio es administrado por el sistema de subsidio familiar.</w:t>
            </w:r>
          </w:p>
          <w:p w14:paraId="3EC896C1" w14:textId="77777777" w:rsidR="00102F33" w:rsidRDefault="00102F33" w:rsidP="00102F33">
            <w:pPr>
              <w:rPr>
                <w:bCs/>
              </w:rPr>
            </w:pPr>
          </w:p>
          <w:p w14:paraId="304C39FD" w14:textId="47860209" w:rsidR="00102F33" w:rsidRDefault="009418C5" w:rsidP="00102F33">
            <w:pPr>
              <w:rPr>
                <w:bCs/>
              </w:rPr>
            </w:pPr>
            <w:r>
              <w:rPr>
                <w:bCs/>
              </w:rPr>
              <w:t>E</w:t>
            </w:r>
            <w:r w:rsidR="00102F33">
              <w:rPr>
                <w:bCs/>
              </w:rPr>
              <w:t xml:space="preserve">l sistema de subsidio familiar está conformado por las 43 Cajas de Compensación </w:t>
            </w:r>
            <w:r w:rsidR="00994B02">
              <w:rPr>
                <w:bCs/>
              </w:rPr>
              <w:t>Familiar (</w:t>
            </w:r>
            <w:r w:rsidR="0000335C">
              <w:rPr>
                <w:bCs/>
              </w:rPr>
              <w:t>CCF)</w:t>
            </w:r>
            <w:r w:rsidR="00102F33">
              <w:rPr>
                <w:bCs/>
              </w:rPr>
              <w:t xml:space="preserve"> del país.</w:t>
            </w:r>
          </w:p>
          <w:p w14:paraId="3C8EFBA4" w14:textId="4B739358" w:rsidR="00102F33" w:rsidRPr="00BA05F0" w:rsidRDefault="00102F33" w:rsidP="00102F33">
            <w:pPr>
              <w:rPr>
                <w:bCs/>
              </w:rPr>
            </w:pP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11646E0B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2238BAE1" w14:textId="7975E619" w:rsidR="00767DB9" w:rsidRPr="00BA05F0" w:rsidRDefault="0000335C" w:rsidP="00767DB9">
            <w:pPr>
              <w:rPr>
                <w:bCs/>
              </w:rPr>
            </w:pPr>
            <w:r>
              <w:rPr>
                <w:bCs/>
              </w:rPr>
              <w:t xml:space="preserve">Acceso a las Redes </w:t>
            </w:r>
            <w:r w:rsidR="0011755C">
              <w:rPr>
                <w:bCs/>
              </w:rPr>
              <w:t>sociales (</w:t>
            </w:r>
            <w:r w:rsidR="00994B02">
              <w:rPr>
                <w:bCs/>
              </w:rPr>
              <w:t>Facebook y Twitter)</w:t>
            </w:r>
            <w:r>
              <w:rPr>
                <w:bCs/>
              </w:rPr>
              <w:t xml:space="preserve"> de las Cajas de Compensación Familiar del país. Se puede tomar una muestra de unas pocas CCF, o el total de las CCF; </w:t>
            </w:r>
            <w:r w:rsidR="008B41A3">
              <w:rPr>
                <w:bCs/>
              </w:rPr>
              <w:t>De acuerdo con</w:t>
            </w:r>
            <w:r>
              <w:rPr>
                <w:bCs/>
              </w:rPr>
              <w:t xml:space="preserve"> las capacidades del equipo de trabajo que se asigne.</w:t>
            </w:r>
          </w:p>
        </w:tc>
      </w:tr>
      <w:tr w:rsidR="00767DB9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347B1A80" w14:textId="4BEBF468" w:rsidR="00767DB9" w:rsidRPr="00D20C67" w:rsidRDefault="00294766" w:rsidP="00D20C67">
            <w:pPr>
              <w:rPr>
                <w:bCs/>
              </w:rPr>
            </w:pPr>
            <w:r w:rsidRPr="00D20C67">
              <w:rPr>
                <w:bCs/>
              </w:rPr>
              <w:t xml:space="preserve">El grupo de trabajo </w:t>
            </w:r>
            <w:r w:rsidR="0011755C" w:rsidRPr="00D20C67">
              <w:rPr>
                <w:bCs/>
              </w:rPr>
              <w:t>está</w:t>
            </w:r>
            <w:r w:rsidRPr="00D20C67">
              <w:rPr>
                <w:bCs/>
              </w:rPr>
              <w:t xml:space="preserve"> en libertad de tomar la información de las redes sociales, </w:t>
            </w:r>
            <w:r w:rsidR="008B41A3" w:rsidRPr="00D20C67">
              <w:rPr>
                <w:bCs/>
              </w:rPr>
              <w:t>de acuerdo con el</w:t>
            </w:r>
            <w:r w:rsidRPr="00D20C67">
              <w:rPr>
                <w:bCs/>
              </w:rPr>
              <w:t xml:space="preserve"> plan</w:t>
            </w:r>
            <w:r w:rsidR="0011755C" w:rsidRPr="00D20C67">
              <w:rPr>
                <w:bCs/>
              </w:rPr>
              <w:t xml:space="preserve"> de trabajo</w:t>
            </w:r>
            <w:r w:rsidRPr="00D20C67">
              <w:rPr>
                <w:bCs/>
              </w:rPr>
              <w:t xml:space="preserve"> que se defina. </w:t>
            </w:r>
          </w:p>
          <w:p w14:paraId="71B482E1" w14:textId="77777777" w:rsidR="00D20C67" w:rsidRPr="00D20C67" w:rsidRDefault="00D20C67" w:rsidP="00D20C67">
            <w:pPr>
              <w:rPr>
                <w:bCs/>
              </w:rPr>
            </w:pPr>
          </w:p>
          <w:p w14:paraId="26FAA6B3" w14:textId="2226E8E6" w:rsidR="00D20C67" w:rsidRPr="00D20C67" w:rsidRDefault="00D20C67" w:rsidP="00D20C67">
            <w:pPr>
              <w:rPr>
                <w:bCs/>
              </w:rPr>
            </w:pPr>
            <w:r w:rsidRPr="00D20C67">
              <w:rPr>
                <w:bCs/>
              </w:rPr>
              <w:t xml:space="preserve">La información disponible, incluye emoticones y sus respectivas etiquetas, entendidos como reacción de los usuarios frente a publicaciones de la caja de compensación o frente </w:t>
            </w:r>
            <w:r>
              <w:rPr>
                <w:bCs/>
              </w:rPr>
              <w:t>a comentarios de otros usuarios, los comentarios textuales, entre otros.</w:t>
            </w:r>
          </w:p>
          <w:p w14:paraId="78D9F000" w14:textId="77777777" w:rsidR="00D20C67" w:rsidRPr="00D20C67" w:rsidRDefault="00D20C67" w:rsidP="00D20C67">
            <w:pPr>
              <w:rPr>
                <w:bCs/>
              </w:rPr>
            </w:pPr>
          </w:p>
          <w:p w14:paraId="0ACA67E7" w14:textId="23E518F1" w:rsidR="00D20C67" w:rsidRPr="00BA05F0" w:rsidRDefault="00D20C67" w:rsidP="00D20C67">
            <w:pPr>
              <w:rPr>
                <w:bCs/>
              </w:rPr>
            </w:pP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7B2731D2" w14:textId="1B7360C5" w:rsidR="00767DB9" w:rsidRPr="00D20C67" w:rsidRDefault="00D20C67" w:rsidP="00767DB9">
            <w:pPr>
              <w:rPr>
                <w:bCs/>
              </w:rPr>
            </w:pPr>
            <w:r w:rsidRPr="00D20C67">
              <w:rPr>
                <w:bCs/>
              </w:rPr>
              <w:t>La Superintendencia cuenta con información consolidada en bases de datos relacionales, de los últimos 4 años con periodicidades trimestrales o mensuales de acuerdo a la naturaleza del tipo de información. Esta información incluye aspectos de Población, financiera, coberturas e infraestructura de las CCF. Esta información se entregara por demanda, de acuerdo a las necesidades del proyecto.</w:t>
            </w:r>
          </w:p>
          <w:p w14:paraId="44AABD47" w14:textId="77777777" w:rsidR="00D20C67" w:rsidRPr="00D20C67" w:rsidRDefault="00D20C67" w:rsidP="00767DB9">
            <w:pPr>
              <w:rPr>
                <w:bCs/>
              </w:rPr>
            </w:pPr>
          </w:p>
          <w:p w14:paraId="5DCD7D1B" w14:textId="218AF993" w:rsidR="00D20C67" w:rsidRDefault="00D20C67" w:rsidP="00767DB9">
            <w:pPr>
              <w:rPr>
                <w:bCs/>
              </w:rPr>
            </w:pPr>
            <w:r w:rsidRPr="00D20C67">
              <w:rPr>
                <w:bCs/>
              </w:rPr>
              <w:t xml:space="preserve">Están disponibles las encuestas </w:t>
            </w:r>
            <w:r>
              <w:rPr>
                <w:bCs/>
              </w:rPr>
              <w:t>del DANE, sobre necesidades de l</w:t>
            </w:r>
            <w:r w:rsidRPr="00D20C67">
              <w:rPr>
                <w:bCs/>
              </w:rPr>
              <w:t>a población en Colombia.</w:t>
            </w:r>
          </w:p>
          <w:p w14:paraId="2C84C169" w14:textId="77777777" w:rsidR="00DC264B" w:rsidRDefault="00DC264B" w:rsidP="00767DB9">
            <w:pPr>
              <w:rPr>
                <w:bCs/>
              </w:rPr>
            </w:pPr>
          </w:p>
          <w:p w14:paraId="45DBC3BA" w14:textId="3F0384D2" w:rsidR="00D20C67" w:rsidRDefault="00DC264B" w:rsidP="00DC264B">
            <w:pPr>
              <w:rPr>
                <w:bCs/>
              </w:rPr>
            </w:pPr>
            <w:r>
              <w:rPr>
                <w:bCs/>
              </w:rPr>
              <w:t xml:space="preserve">Sería importante, si el proyecto consigue </w:t>
            </w:r>
            <w:r w:rsidRPr="00201F71">
              <w:rPr>
                <w:bCs/>
              </w:rPr>
              <w:t>diccionarios de texto, que permitan transformar datos textuales en estructuras adecuadas para el entrenamiento de las máquinas de aprendizaje.</w:t>
            </w:r>
            <w:r w:rsidR="00064521">
              <w:rPr>
                <w:bCs/>
              </w:rPr>
              <w:t xml:space="preserve"> </w:t>
            </w:r>
            <w:r>
              <w:rPr>
                <w:bCs/>
              </w:rPr>
              <w:t>La Superintendencia no cuenta con estos diccionarios.</w:t>
            </w:r>
          </w:p>
          <w:p w14:paraId="0A124239" w14:textId="0BD6ADF2" w:rsidR="00DC264B" w:rsidRPr="00D20C67" w:rsidRDefault="00DC264B" w:rsidP="00DC264B">
            <w:pPr>
              <w:rPr>
                <w:bCs/>
              </w:rPr>
            </w:pPr>
          </w:p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1AF093DC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58F74F0A" w14:textId="6982EB6D" w:rsidR="00D413B7" w:rsidRDefault="00201F71" w:rsidP="00D413B7">
            <w:pPr>
              <w:jc w:val="both"/>
            </w:pPr>
            <w:r>
              <w:t>Desarrollar</w:t>
            </w:r>
            <w:r w:rsidR="00D413B7">
              <w:t xml:space="preserve"> reportes de análisis de sentimiento </w:t>
            </w:r>
            <w:r>
              <w:t>del sistema de subsidio familiar, que permita determinar los servicios con mejor calificación por parte de sus usuarios. Esta clasificación debe permitir generar reportes por regiones geográficas, por género, edades y otros criterios que el grupo de trabajo considere importante.</w:t>
            </w:r>
          </w:p>
          <w:p w14:paraId="5756DF08" w14:textId="77777777" w:rsidR="000E1456" w:rsidRDefault="000E1456" w:rsidP="00D413B7">
            <w:pPr>
              <w:jc w:val="both"/>
            </w:pPr>
          </w:p>
          <w:p w14:paraId="3AB72C25" w14:textId="29F65A13" w:rsidR="000E1456" w:rsidRDefault="000E1456" w:rsidP="00D413B7">
            <w:pPr>
              <w:jc w:val="both"/>
            </w:pPr>
            <w:r>
              <w:t>Elaborar manuales del sistema, que permita a los funcionarios, replicar el ejercicio, en periodos posteriores o a un conjunto más amplio de CCF.</w:t>
            </w:r>
          </w:p>
          <w:p w14:paraId="469CDB7B" w14:textId="77777777" w:rsidR="000E1456" w:rsidRDefault="000E1456" w:rsidP="00D413B7">
            <w:pPr>
              <w:jc w:val="both"/>
            </w:pPr>
          </w:p>
          <w:p w14:paraId="05A66E6F" w14:textId="24B7251F" w:rsidR="00767DB9" w:rsidRPr="00B1331B" w:rsidRDefault="000E1456" w:rsidP="000E1456">
            <w:pPr>
              <w:jc w:val="both"/>
              <w:rPr>
                <w:b/>
                <w:bCs/>
                <w:color w:val="808080" w:themeColor="background1" w:themeShade="80"/>
              </w:rPr>
            </w:pPr>
            <w:r>
              <w:t>Capacitar a Funcionarios en el uso de las herramientas.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11"/>
      <w:footerReference w:type="default" r:id="rId12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5BF4" w14:textId="77777777" w:rsidR="001E753A" w:rsidRDefault="001E753A" w:rsidP="008A1366">
      <w:pPr>
        <w:spacing w:after="0" w:line="240" w:lineRule="auto"/>
      </w:pPr>
      <w:r>
        <w:separator/>
      </w:r>
    </w:p>
  </w:endnote>
  <w:endnote w:type="continuationSeparator" w:id="0">
    <w:p w14:paraId="342308D0" w14:textId="77777777" w:rsidR="001E753A" w:rsidRDefault="001E753A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27B1" w14:textId="77777777" w:rsidR="00B1331B" w:rsidRDefault="00B1331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6FD39" w14:textId="77777777" w:rsidR="001E753A" w:rsidRDefault="001E753A" w:rsidP="008A1366">
      <w:pPr>
        <w:spacing w:after="0" w:line="240" w:lineRule="auto"/>
      </w:pPr>
      <w:r>
        <w:separator/>
      </w:r>
    </w:p>
  </w:footnote>
  <w:footnote w:type="continuationSeparator" w:id="0">
    <w:p w14:paraId="3CB990D7" w14:textId="77777777" w:rsidR="001E753A" w:rsidRDefault="001E753A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F74D" w14:textId="77777777" w:rsidR="00B1331B" w:rsidRDefault="00B1331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153"/>
    <w:multiLevelType w:val="hybridMultilevel"/>
    <w:tmpl w:val="FF9E0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B35148"/>
    <w:multiLevelType w:val="hybridMultilevel"/>
    <w:tmpl w:val="D70A2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0659D"/>
    <w:multiLevelType w:val="hybridMultilevel"/>
    <w:tmpl w:val="2068A9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0335C"/>
    <w:rsid w:val="00064521"/>
    <w:rsid w:val="00081D0F"/>
    <w:rsid w:val="000E1456"/>
    <w:rsid w:val="000E6368"/>
    <w:rsid w:val="0010082C"/>
    <w:rsid w:val="00102F33"/>
    <w:rsid w:val="0011755C"/>
    <w:rsid w:val="001B6B6D"/>
    <w:rsid w:val="001E219E"/>
    <w:rsid w:val="001E753A"/>
    <w:rsid w:val="00201729"/>
    <w:rsid w:val="00201F71"/>
    <w:rsid w:val="0023321C"/>
    <w:rsid w:val="00294766"/>
    <w:rsid w:val="002F34DC"/>
    <w:rsid w:val="00353C1A"/>
    <w:rsid w:val="004143D6"/>
    <w:rsid w:val="004D48D4"/>
    <w:rsid w:val="005D231B"/>
    <w:rsid w:val="005F7820"/>
    <w:rsid w:val="00685991"/>
    <w:rsid w:val="006A11F1"/>
    <w:rsid w:val="006E6985"/>
    <w:rsid w:val="006F6339"/>
    <w:rsid w:val="0075524F"/>
    <w:rsid w:val="00767DB9"/>
    <w:rsid w:val="00780E6E"/>
    <w:rsid w:val="0081344E"/>
    <w:rsid w:val="008A1366"/>
    <w:rsid w:val="008B41A3"/>
    <w:rsid w:val="009418C5"/>
    <w:rsid w:val="009827D7"/>
    <w:rsid w:val="00994B02"/>
    <w:rsid w:val="00A860D1"/>
    <w:rsid w:val="00B1331B"/>
    <w:rsid w:val="00B60CAD"/>
    <w:rsid w:val="00BA05F0"/>
    <w:rsid w:val="00BA1756"/>
    <w:rsid w:val="00C41CFB"/>
    <w:rsid w:val="00C90F82"/>
    <w:rsid w:val="00D206FD"/>
    <w:rsid w:val="00D20C67"/>
    <w:rsid w:val="00D413B7"/>
    <w:rsid w:val="00DC12ED"/>
    <w:rsid w:val="00DC264B"/>
    <w:rsid w:val="00E07E14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1237</Words>
  <Characters>6804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HECTOR JOSE MATAMOROS RODRIGUEZ</cp:lastModifiedBy>
  <cp:revision>3</cp:revision>
  <dcterms:created xsi:type="dcterms:W3CDTF">2020-05-11T17:18:00Z</dcterms:created>
  <dcterms:modified xsi:type="dcterms:W3CDTF">2020-05-11T17:47:00Z</dcterms:modified>
</cp:coreProperties>
</file>