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average. The CSV is dated 2023, so the 5× bridges 2023 → 2026 frontier.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daily cap (RFP refers to one; value not specified)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TOLL_MAX_MWH_PER_DAY (TBD)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Tokens per request — not currently in the model and not required under the RFP's infinite-demand assumption ("demand always equals or exceeds available capacity"). Would become a useful future extension if we replaced infinite demand with a stochastic Poisson request-arrival process: revenue would then be (price × accepted requests) and tokens-per-request would set the per-request compute load.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TOLL_MAX_MWH_PER_DAY</w:t>
      </w:r>
      <w:r>
        <w:t xml:space="preserve"> — RFP mentions a daily MWh cap on Houston tolling but doesn't specify the value. Currently `None` (no daily cap). Tighter caps would lower realized toll value.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6-month lease amortization method — currently straight-line: $60M capex / 15 yr / 2 + $2M opex/yr / 2 = $3M / site / 6 months. The capex, opex, and lifetime are RFP-firm; the RFP does not dictate the amortization method, so a discounted-annuity treatment at an explicit cost of capital would yield a different fixed leg. The current $3M/site value is what the TBx-swap breakeven is benchmarked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ListParagraph"/>
        <w:numPr>
          <w:ilvl w:val="0"/>
          <w:numId w:val="2"/>
        </w:numPr>
        <w:spacing w:after="80"/>
      </w:pPr>
      <w:r>
        <w:t>Virtual TBx swap valuation — added in model/tbx_swap.py. Values the cash-settled virtual form of the BESS toll on the same MC price paths the LP uses for the physical form, with TBx = Σ(top-x) − Σ(bottom-x) per daily settlement, RTE-adjusted, and a breakeven fixed payment reported alongside the $3M/site physical lease. Primary case is x = 4 (duration-matched to the 40 MW × 4-hr battery); x ∈ {1, 2, 4, 8} is reported as sensitivity. Final write-up should include the physical-vs-virtual head-to-head numbers this produces.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 (with deterministic baseline = 2025 hourly DAM shifted +1 year). No structural drift / forward-curve adjustment for fuel-price changes 2025 → 2026. If gas or load forecasts indicate meaningful drift, an additive shift or recalibrated long-run mean would tighten the estimate.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Capacity-factor derate (true MIHR-style — beyond RFP scope) — distinct from the LMP-signature view above. Our LP currently assumes capacity_factor = 1.0 (full 100 MW/site at every hour). A direct MIHR-style model would multiply the per-site grid cap by a stochastic capacity_factor[h] ≤ 1 driven by renewables + transmission. The RFP asks to describe intermittency, not to model it as a stochastic capacity cap, so this is a beyond-scope extension rather than an outstanding deliverable.</w:t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2026-05-17T04:43:28.228Z</dcterms:created>
  <dcterms:modified xsi:type="dcterms:W3CDTF">2026-05-17T04:43:28.230Z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