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Project description</w:t>
      </w:r>
    </w:p>
    <w:p>
      <w:pPr>
        <w:spacing w:after="120"/>
      </w:pPr>
      <w:r>
        <w:t xml:space="preserve">Optimization of a 6-month operating policy (1 June 2026 → 1 December 2026) for a pair of 100-MW data centers in the ERCOT region — Houston (HB_HOUSTON) and West Texas (HB_WEST) —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>
      <w:pPr>
        <w:pStyle w:val="Heading1"/>
      </w:pPr>
      <w:r>
        <w:rPr>
          <w:b/>
          <w:bCs/>
        </w:rPr>
        <w:t xml:space="preserve">Project setup</w:t>
      </w:r>
    </w:p>
    <w:p>
      <w:pPr>
        <w:pStyle w:val="Heading2"/>
      </w:pPr>
      <w:r>
        <w:rPr>
          <w:b/>
          <w:bCs/>
        </w:rPr>
        <w:t xml:space="preserve">3 main decisions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vs. inference compute split each hour at each site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procurement at each site: RT LMP vs. tolling (Houston only — no gas plant available at West) and BESS dispatch (charge from grid, discharge to data center, or sell back to grid)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compute away from inference; lower cadence preserves inference capacity but lets revenue decay</w:t>
      </w:r>
    </w:p>
    <w:p>
      <w:pPr>
        <w:pStyle w:val="Heading1"/>
      </w:pPr>
      <w:r>
        <w:rPr>
          <w:b/>
          <w:bCs/>
        </w:rPr>
        <w:t xml:space="preserve">Assigned Tasks and Deliverables</w:t>
      </w:r>
    </w:p>
    <w:p>
      <w:pPr>
        <w:spacing w:after="120"/>
      </w:pPr>
      <w:r>
        <w:t xml:space="preserve"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Detailed description of the process of analysis, motivation/rationale justifying the methodology, and all assumptions.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increases for tolling fixed-lease-rate battery storage (BESS) at each location with recommendations as to under what market conditions either or both of these tolling arrangements would be economically viable.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Substantive description of wind-solar intermittency in the context of MIHR citing the ERCOT data portal, and the contingency of the prescribed unscheduled outage scenarios.</w:t>
      </w:r>
    </w:p>
    <w:p>
      <w:pPr>
        <w:pStyle w:val="Heading1"/>
      </w:pPr>
      <w:r>
        <w:rPr>
          <w:b/>
          <w:bCs/>
        </w:rPr>
        <w:t xml:space="preserve">Training + Inference</w:t>
      </w:r>
    </w:p>
    <w:p>
      <w:pPr>
        <w:pStyle w:val="Heading2"/>
      </w:pPr>
      <w:r>
        <w:rPr>
          <w:b/>
          <w:bCs/>
        </w:rPr>
        <w:t xml:space="preserve">Training</w:t>
      </w:r>
    </w:p>
    <w:p>
      <w:pPr>
        <w:pStyle w:val="Heading3"/>
      </w:pPr>
      <w:r>
        <w:rPr>
          <w:b/>
          <w:bCs/>
        </w:rPr>
        <w:t xml:space="preserve">Power and computational requirements</w:t>
      </w:r>
    </w:p>
    <w:p>
      <w:pPr>
        <w:spacing w:after="120"/>
      </w:pPr>
      <w:r>
        <w:t xml:space="preserve">Each model release k has a compute requirement that we project from its training-start date in three steps: training_start_date → projected parameter count → projected training FLOPS → required compute-MWh.</w:t>
      </w:r>
    </w:p>
    <w:p>
      <w:pPr>
        <w:pStyle w:val="Heading3"/>
      </w:pPr>
      <w:r>
        <w:rPr>
          <w:b/>
          <w:bCs/>
        </w:rPr>
        <w:t xml:space="preserve">Parameter projection</w:t>
      </w:r>
    </w:p>
    <w:p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notable artificial intelligence systems" dataset with a post-2020 filter. The post-2020 cut produces a steeper, more recent trend that better matches frontier model sizes; the post-2010 alternative is documented in the code (`fit_growth_curves.py`) for comparison.</w:t>
      </w:r>
    </w:p>
    <w:p>
      <w:pPr>
        <w:spacing w:after="120"/>
      </w:pPr>
      <w:r>
        <w:t xml:space="preserve">Post-2020 fit (n = 395 observations, R² ≈ 0.30):</w:t>
      </w:r>
    </w:p>
    <w:p>
      <w:pPr>
        <w:spacing w:after="120"/>
      </w:pPr>
      <w:r>
        <w:rPr>
          <w:i/>
          <w:iCs/>
        </w:rPr>
        <w:t xml:space="preserve">log10(params) = −49.6585 + 1.32043 × 10⁻³ · day_serial</w:t>
      </w:r>
    </w:p>
    <w:p>
      <w:pPr>
        <w:spacing w:after="120"/>
      </w:pPr>
      <w:r>
        <w:t xml:space="preserve">That gives a parameter-count doubling time of ~228 days. We then apply a 5× competitiveness multiplier (planning-doc convention) so projections track 2026 frontier-class models (DeepSeek 1.6T, GPT-class 1.7T, etc.) rather than the dataset-wide average. The CSV is dated 2023, so the 5× bridges 2023 → 2026 frontier.</w:t>
      </w:r>
    </w:p>
    <w:p>
      <w:pPr>
        <w:spacing w:after="120"/>
      </w:pPr>
      <w:r>
        <w:t xml:space="preserve">Projected post-multiplier parameter counts at planning-doc reference dates: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200"/>
        <w:gridCol w:w="29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Params (post-5×)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Pre-multiplier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(initial)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2.04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1.09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2.18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1.31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2.62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1.58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3.16 × 10¹¹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 × 10¹²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3.80 × 10¹¹</w:t>
            </w:r>
          </w:p>
        </w:tc>
      </w:tr>
    </w:tbl>
    <w:p>
      <w:pPr>
        <w:spacing w:after="120"/>
      </w:pPr>
      <w:r>
        <w:t xml:space="preserve">These figures are derived in `assumptions.project_params(training_start_date)`.</w:t>
      </w:r>
    </w:p>
    <w:p>
      <w:pPr>
        <w:pStyle w:val="Heading3"/>
      </w:pPr>
      <w:r>
        <w:rPr>
          <w:b/>
          <w:bCs/>
        </w:rPr>
        <w:t xml:space="preserve">FLOPS projection</w:t>
      </w:r>
    </w:p>
    <w:p>
      <w:pPr>
        <w:spacing w:after="120"/>
      </w:pPr>
      <w:r>
        <w:t xml:space="preserve">Training compute follows a power law in parameter count. We fit log10(petaFLOPS) vs. log10(params) on the Epoch AI "Training computation vs. parameters" dataset (n = 457, R² ≈ 0.84):</w:t>
      </w:r>
    </w:p>
    <w:p>
      <w:pPr>
        <w:spacing w:after="120"/>
      </w:pPr>
      <w:r>
        <w:rPr>
          <w:i/>
          <w:iCs/>
        </w:rPr>
        <w:t xml:space="preserve">log10(petaFLOPS) = −9.8192 + 1.7187 · log10(params)</w:t>
      </w:r>
    </w:p>
    <w:p>
      <w:pPr>
        <w:spacing w:after="120"/>
      </w:pPr>
      <w:r>
        <w:t xml:space="preserve"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3000"/>
        <w:gridCol w:w="31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Release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start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Training petaFLOPS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FLOPS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2026-06-01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6.64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2026-06-22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10¹⁰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7.41 × 10²⁵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2026-08-22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1.02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2026-10-22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1.40 × 10²⁶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2026-12-22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10¹¹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1.93 × 10²⁶</w:t>
            </w:r>
          </w:p>
        </w:tc>
      </w:tr>
    </w:tbl>
    <w:p>
      <w:pPr>
        <w:spacing w:after="120"/>
      </w:pPr>
      <w:r>
        <w:t xml:space="preserve">Derived in `assumptions.project_petaflops(training_start_date)`.</w:t>
      </w:r>
    </w:p>
    <w:p>
      <w:pPr>
        <w:pStyle w:val="Heading3"/>
      </w:pPr>
      <w:r>
        <w:rPr>
          <w:b/>
          <w:bCs/>
        </w:rPr>
        <w:t xml:space="preserve">Hardware and FLOPS → MWh conversion</w:t>
      </w:r>
    </w:p>
    <w:p>
      <w:pPr>
        <w:spacing w:after="120"/>
      </w:pPr>
      <w:r>
        <w:t xml:space="preserve"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00"/>
        <w:gridCol w:w="5260"/>
      </w:tblGrid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 value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H100_SXM_SUSTAINED_TFLOPS_PER_SEC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989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H100_PCIE_SUSTAINED_TFLOPS_PER_SEC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380 TF/s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50 % of FP8-dense theoretical 756 TF/s.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SXM_FRACTION_DEFAULT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0.60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60 % SXM / 40 % PCIe. ⚠ TBD</w:t>
            </w:r>
          </w:p>
        </w:tc>
      </w:tr>
      <w:tr>
        <w:tc>
          <w:tcPr>
            <w:tcW w:type="dxa" w:w="2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</w:t>
            </w:r>
          </w:p>
        </w:tc>
        <w:tc>
          <w:tcPr>
            <w:tcW w:type="dxa" w:w="1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  <w:tc>
          <w:tcPr>
            <w:tcW w:type="dxa" w:w="52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Derived: GPUs × (split · TF/s) × 3600 / 80 MW</w:t>
            </w:r>
          </w:p>
        </w:tc>
      </w:tr>
    </w:tbl>
    <w:p>
      <w:pPr>
        <w:spacing w:after="120"/>
      </w:pPr>
      <w:r>
        <w:t xml:space="preserve"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>
      <w:pPr>
        <w:pStyle w:val="Heading3"/>
      </w:pPr>
      <w:r>
        <w:rPr>
          <w:b/>
          <w:bCs/>
        </w:rPr>
        <w:t xml:space="preserve">Three core decisions, recap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Treated as a discrete sweep over candidate values, evaluated in expectation over MC price paths.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SXM vs PCIe split. Currently collapsed into a single aggregate FLOPS_PER_COMPUTE_MWH because the underlying per-workload sustained rates are flagged TBD in the planning doc. Easy to split when finalized.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Hourly training/inference split per site. The LP picks these endogenously given the cadence and price paths.</w:t>
      </w:r>
    </w:p>
    <w:p>
      <w:pPr>
        <w:pStyle w:val="Heading3"/>
      </w:pPr>
      <w:r>
        <w:rPr>
          <w:b/>
          <w:bCs/>
        </w:rPr>
        <w:t xml:space="preserve">First release: 100 % compute</w:t>
      </w:r>
    </w:p>
    <w:p>
      <w:pPr>
        <w:spacing w:after="120"/>
      </w:pPr>
      <w:r>
        <w:t xml:space="preserve">The initial release R1 begins 1 June 2026 and runs at 100 % compute utilization on both sites — no inference revenue accrues during R1's window. R1's window length is therefore set by compute-need / max-compute-rate:</w:t>
      </w:r>
    </w:p>
    <w:p>
      <w:pPr>
        <w:spacing w:after="120"/>
      </w:pPr>
      <w:r>
        <w:rPr>
          <w:i/>
          <w:iCs/>
        </w:rPr>
        <w:t xml:space="preserve">R1_duration = project_compute_mwh(2026-06-01) / (2 × 80 MW · 24 h) ≈ 36,289 / 3,840 ≈ 9.5 → 10 days</w:t>
      </w:r>
    </w:p>
    <w:p>
      <w:pPr>
        <w:spacing w:after="120"/>
      </w:pPr>
      <w:r>
        <w:t xml:space="preserve">All subsequent releases R(k+1) start at R(k)'s release date and run for the chosen cadence_days, with both training and inference allowed in those windows.</w:t>
      </w:r>
    </w:p>
    <w:p>
      <w:pPr>
        <w:pStyle w:val="Heading2"/>
      </w:pPr>
      <w:r>
        <w:rPr>
          <w:b/>
          <w:bCs/>
        </w:rPr>
        <w:t xml:space="preserve">Inference</w:t>
      </w:r>
    </w:p>
    <w:p>
      <w:pPr>
        <w:pStyle w:val="Heading3"/>
      </w:pPr>
      <w:r>
        <w:rPr>
          <w:b/>
          <w:bCs/>
        </w:rPr>
        <w:t xml:space="preserve">Basic 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Inference can only use compute capacity not currently being used for training. Implemented as the LP's per-site compute cap: train + inf ≤ 100 grid-MWh/hr (= 80 compute-MWh/hr).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revenue at any hour must cover marginal power cost. The LP enforces this implicitly via its profit objective: an additional MWh of inference is only taken if its revenue exceeds its grid cost.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Maximum request rate is such that power/computational cost does not exceed that unused by training, in any hour.</w:t>
      </w:r>
    </w:p>
    <w:p>
      <w:pPr>
        <w:pStyle w:val="Heading3"/>
      </w:pPr>
      <w:r>
        <w:rPr>
          <w:b/>
          <w:bCs/>
        </w:rPr>
        <w:t xml:space="preserve">Revenue per MWh</w:t>
      </w:r>
    </w:p>
    <w:p>
      <w:pPr>
        <w:spacing w:after="120"/>
      </w:pPr>
      <w:r>
        <w:t xml:space="preserve">Per the RFP, a 100 % allocation of 80 MW compute to inference produces 5 trillion tokens/day per site. This pins our conversion factor:</w:t>
      </w:r>
    </w:p>
    <w:p>
      <w:pPr>
        <w:spacing w:after="120"/>
      </w:pPr>
      <w:r>
        <w:rPr>
          <w:i/>
          <w:iCs/>
        </w:rPr>
        <w:t xml:space="preserve">TOKENS_PER_COMPUTE_MWH = 5 × 10¹² / (80 × 24) ≈ 2.604 × 10⁹ tokens/cMWh</w:t>
      </w:r>
    </w:p>
    <w:p>
      <w:pPr>
        <w:spacing w:after="120"/>
      </w:pPr>
      <w:r>
        <w:t xml:space="preserve">Token pricing follows GPT-5.4Pro on benchlm.ai with the RFP-specified 2/3 input + 1/3 output revenue mix:</w:t>
      </w:r>
    </w:p>
    <w:p>
      <w:pPr>
        <w:spacing w:after="120"/>
      </w:pPr>
      <w:r>
        <w:rPr>
          <w:i/>
          <w:iCs/>
        </w:rPr>
        <w:t xml:space="preserve">blended rate = (2/3) × $30 + (1/3) × $180 = $80 per million tokens</w:t>
      </w:r>
    </w:p>
    <w:p>
      <w:pPr>
        <w:spacing w:after="120"/>
      </w:pPr>
      <w:r>
        <w:t xml:space="preserve"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>
      <w:pPr>
        <w:pStyle w:val="Heading3"/>
      </w:pPr>
      <w:r>
        <w:rPr>
          <w:b/>
          <w:bCs/>
        </w:rPr>
        <w:t xml:space="preserve">Token-price decay between releases</w:t>
      </w:r>
    </w:p>
    <w:p>
      <w:pPr>
        <w:spacing w:after="120"/>
      </w:pPr>
      <w:r>
        <w:t xml:space="preserve">From the planning-doc observation that frontier token prices halve every couple of months, we model the per-hour inference revenue rate as:</w:t>
      </w:r>
    </w:p>
    <w:p>
      <w:pPr>
        <w:spacing w:after="120"/>
      </w:pPr>
      <w:r>
        <w:rPr>
          <w:i/>
          <w:iCs/>
        </w:rPr>
        <w:t xml:space="preserve">rev_inf[h] = base_rev × multiplier_of_current_release × 0.5 ^ (days_since_release / 60)</w:t>
      </w:r>
    </w:p>
    <w:p>
      <w:pPr>
        <w:spacing w:after="120"/>
      </w:pPr>
      <w:r>
        <w:t xml:space="preserve">Where `current_release` is the most-recent release as of hour h. Halflife defaults to 60 days; sensitivity to 30/45/60/90/120 days is provided in `halflife_sensitivity.py`.</w:t>
      </w:r>
    </w:p>
    <w:p>
      <w:pPr>
        <w:pStyle w:val="Heading3"/>
      </w:pPr>
      <w:r>
        <w:rPr>
          <w:b/>
          <w:bCs/>
        </w:rPr>
        <w:t xml:space="preserve">Per-release multipliers (token cost / quality)</w:t>
      </w:r>
    </w:p>
    <w:p>
      <w:pPr>
        <w:spacing w:after="120"/>
      </w:pPr>
      <w:r>
        <w:t xml:space="preserve">Each release carries a `token_revenue_multiplier`. Four schemes are available, configurable per-run: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Scheme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Multiplier rule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Captures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constant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1.0 for every release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generation-over-generation differentiation; only the decay sawtooth matters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uplift_factor^k for release k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captures more value because it's a better model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market_decay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0.5^(release_t_days/60)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new release earns less because the consumer market price has fallen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doc_blended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quality_uplift × market_decay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Planning-doc story: quality rises but market deflates simultaneously</w:t>
            </w:r>
          </w:p>
        </w:tc>
      </w:tr>
    </w:tbl>
    <w:p>
      <w:pPr>
        <w:spacing w:after="120"/>
      </w:pPr>
      <w:r>
        <w:t xml:space="preserve">Default for the headline run is `doc_blended` with `uplift_factor = 1.5`.</w:t>
      </w:r>
    </w:p>
    <w:p>
      <w:pPr>
        <w:pStyle w:val="Heading3"/>
      </w:pPr>
      <w:r>
        <w:rPr>
          <w:b/>
          <w:bCs/>
        </w:rPr>
        <w:t xml:space="preserve">Revenue at the hour level</w:t>
      </w:r>
    </w:p>
    <w:p>
      <w:pPr>
        <w:spacing w:after="120"/>
      </w:pPr>
      <w:r>
        <w:t xml:space="preserve">Total inference revenue per hour at a site, given the LP picked inf grid-MWh of inference:</w:t>
      </w:r>
    </w:p>
    <w:p>
      <w:pPr>
        <w:spacing w:after="120"/>
      </w:pPr>
      <w:r>
        <w:rPr>
          <w:i/>
          <w:iCs/>
        </w:rPr>
        <w:t xml:space="preserve">revenue[h, s] = inf[h, s] × rev_inf[h]</w:t>
      </w:r>
    </w:p>
    <w:p>
      <w:pPr>
        <w:spacing w:after="120"/>
      </w:pPr>
      <w:r>
        <w:t xml:space="preserve">Aggregated across hours and sites and netted against power costs (LMP/toll/BESS-charge) and BESS lease (if applicable), this is the LP's objective.</w:t>
      </w:r>
    </w:p>
    <w:p>
      <w:pPr>
        <w:pStyle w:val="Heading1"/>
      </w:pPr>
      <w:r>
        <w:rPr>
          <w:b/>
          <w:bCs/>
        </w:rPr>
        <w:t xml:space="preserve">Conversion (compute → grid-MWh)</w:t>
      </w:r>
    </w:p>
    <w:p>
      <w:pPr>
        <w:spacing w:after="120"/>
      </w:pPr>
      <w:r>
        <w:t xml:space="preserve"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460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Quantity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Formula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 (default)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Use Effectiveness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MWh / Compute MWh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1.25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grid power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Per-site compute capacity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 cap ÷ PUE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 compute-MWh/hr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grid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4,800 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Both-site compute cap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compute-MWh/hr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= 3,840 cMWh/day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Σ_GPU type frac · TF/s · 3600 / 80 MW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1.83 × 10²¹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5T tokens/day ÷ (80 MW · 24 h)</w:t>
            </w:r>
          </w:p>
        </w:tc>
        <w:tc>
          <w:tcPr>
            <w:tcW w:type="dxa" w:w="3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 × 10⁹</w:t>
            </w:r>
          </w:p>
        </w:tc>
      </w:tr>
    </w:tbl>
    <w:p>
      <w:pPr>
        <w:spacing w:after="120"/>
      </w:pPr>
      <w:r>
        <w:t xml:space="preserve">Constraints (planning doc):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grid draw across both sites ≤ 200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train + inf ≤ 100 grid-MWh/hr (≡ 80 compute-MWh/hr after PUE)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Aggregate train + inf ≤ 200 grid-MWh/hr (≡ 160 compute-MWh)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Compute-clearing: g_lmp + g_toll + dis_dc = train + inf (LP balance equation)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floor: Σ train per day, summed across both sites, ≥ 500 MWh-grid</w:t>
      </w:r>
    </w:p>
    <w:p>
      <w:pPr>
        <w:pStyle w:val="Heading1"/>
      </w:pPr>
      <w:r>
        <w:rPr>
          <w:b/>
          <w:bCs/>
        </w:rPr>
        <w:t xml:space="preserve">Power</w:t>
      </w:r>
    </w:p>
    <w:p>
      <w:pPr>
        <w:pStyle w:val="Heading2"/>
      </w:pPr>
      <w:r>
        <w:rPr>
          <w:b/>
          <w:bCs/>
        </w:rPr>
        <w:t xml:space="preserve">Grid LMP (HB_HOUSTON, HB_WEST)</w:t>
      </w:r>
    </w:p>
    <w:p>
      <w:pPr>
        <w:spacing w:after="120"/>
      </w:pPr>
      <w:r>
        <w:t xml:space="preserve"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Ornstein-Uhlenbeck model calibrated on the full 2025 actuals.</w:t>
      </w:r>
    </w:p>
    <w:p>
      <w:pPr>
        <w:spacing w:after="120"/>
      </w:pPr>
      <w:r>
        <w:t xml:space="preserve">Note: the RFP requests RT-LMP. DAM is the closest available proxy in the repo; RT is typically more volatile and would slightly increase the value of tolling and BESS arbitrage.</w:t>
      </w:r>
    </w:p>
    <w:p>
      <w:pPr>
        <w:pStyle w:val="Heading2"/>
      </w:pPr>
      <w:r>
        <w:rPr>
          <w:b/>
          <w:bCs/>
        </w:rPr>
        <w:t xml:space="preserve">Henry Hub gas (for tolling)</w:t>
      </w:r>
    </w:p>
    <w:p>
      <w:pPr>
        <w:spacing w:after="120"/>
      </w:pPr>
      <w:r>
        <w:t xml:space="preserve">Daily Henry Hub spot prices from the EIA are used in the Houston tolling cost formula. Loaded from `HH_full.csv`.</w:t>
      </w:r>
    </w:p>
    <w:p>
      <w:pPr>
        <w:pStyle w:val="Heading2"/>
      </w:pPr>
      <w:r>
        <w:rPr>
          <w:b/>
          <w:bCs/>
        </w:rPr>
        <w:t xml:space="preserve">Tolling at Houston (period-long option, hourly exercise)</w:t>
      </w:r>
    </w:p>
    <w:p>
      <w:pPr>
        <w:spacing w:after="120"/>
      </w:pPr>
      <w:r>
        <w:t xml:space="preserve">Tolling is structured as a binary period-long contract decision (`Scenario.use_houston_tolling`). When the contract is signed, the LP gets an hourly option to draw up to TOLL_MAX_MW of power at the tolling cost — exercised only when LMP &gt; toll cost. Toll variable cost per MWh:</w:t>
      </w:r>
    </w:p>
    <w:p>
      <w:pPr>
        <w:spacing w:after="120"/>
      </w:pPr>
      <w:r>
        <w:rPr>
          <w:i/>
          <w:iCs/>
        </w:rPr>
        <w:t xml:space="preserve">toll_cost[$/MWh] = (HH_gas[$/MMBtu] + $3/MMBtu O&amp;M) × 9.5 MMBtu/MWh ≈ $57/MWh at $3 gas</w:t>
      </w:r>
    </w:p>
    <w:p>
      <w:pPr>
        <w:spacing w:after="120"/>
      </w:pPr>
      <w:r>
        <w:t xml:space="preserve">Heat rate is 9,500 BTU/kWh per the RFP — typical of an efficient simple-cycle peaker. West Texas has no tolling option (no gas plant available).</w:t>
      </w:r>
    </w:p>
    <w:p>
      <w:pPr>
        <w:spacing w:after="120"/>
      </w:pPr>
      <w:r>
        <w:t xml:space="preserve">Tolling parameters (currently default-modelled with no fixed surcharge):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Parameter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TOLL_HEAT_RATE_BTU_PER_KWH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9,500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simple-cycle peaker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TOLL_VOM_PER_MMBTU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$3/MMBtu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RFP — variable O&amp;M premium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 MWh/hr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cap = site grid cap (assumption)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TOLL_MAX_MWH_PER_DAY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None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daily cap (RFP refers to one; value not specified)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TOLL_FIXED_SURCHARGE_PER_MWH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$0</w:t>
            </w:r>
          </w:p>
        </w:tc>
        <w:tc>
          <w:tcPr>
            <w:tcW w:type="dxa" w:w="48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⚠ TBD capacity payment (RFP didn't specify)</w:t>
            </w:r>
          </w:p>
        </w:tc>
      </w:tr>
    </w:tbl>
    <w:p>
      <w:pPr>
        <w:pStyle w:val="Heading2"/>
      </w:pPr>
      <w:r>
        <w:rPr>
          <w:b/>
          <w:bCs/>
        </w:rPr>
        <w:t xml:space="preserve">BESS (40 MW / 160 MWh / 92 % RTE at each site)</w:t>
      </w:r>
    </w:p>
    <w:p>
      <w:pPr>
        <w:spacing w:after="120"/>
      </w:pPr>
      <w:r>
        <w:t xml:space="preserve">Battery storage is modeled as a tolling agreement (physical or virtual) for 6 months. The contract is binary per site (`Scenario.bess_sites` can be any subset of {HOUSTON, WEST}). When active at a site, the LP gets four hourly decisions: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ch[h, s]: MWh charged from the grid (drawn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dis_dc[h, s]: MWh discharged to the data center (substitutes for grid draw at LMP)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dis_grid[h, s]: MWh discharged and sold back to the grid at LMP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soc[h, s]: state of charge at hour h, bounded 0 ≤ soc ≤ 160 MWh</w:t>
      </w:r>
    </w:p>
    <w:p>
      <w:pPr>
        <w:spacing w:after="120"/>
      </w:pPr>
      <w:r>
        <w:t xml:space="preserve">BESS dynamics:</w:t>
      </w:r>
    </w:p>
    <w:p>
      <w:pPr>
        <w:spacing w:after="120"/>
      </w:pPr>
      <w:r>
        <w:rPr>
          <w:i/>
          <w:iCs/>
        </w:rPr>
        <w:t xml:space="preserve">soc[h+1] = soc[h] + √0.92 × ch[h] − (dis_dc[h] + dis_grid[h]) / √0.92</w:t>
      </w:r>
    </w:p>
    <w:p>
      <w:pPr>
        <w:spacing w:after="120"/>
      </w:pPr>
      <w:r>
        <w:t xml:space="preserve">Charge and combined discharge each capped at 40 MWh/hr; round-trip efficiency 92 % (= per-direction √0.92 ≈ 0.959). The 6-month lease per site is amortized from the RFP-stated cost structure:</w:t>
      </w:r>
    </w:p>
    <w:p>
      <w:pPr>
        <w:spacing w:after="120"/>
      </w:pPr>
      <w:r>
        <w:rPr>
          <w:i/>
          <w:iCs/>
        </w:rPr>
        <w:t xml:space="preserve">lease/site = $60M capex / 15 yr / 2 + $2M opex/yr / 2 = $3M for 6 months</w:t>
      </w:r>
    </w:p>
    <w:p>
      <w:pPr>
        <w:spacing w:after="120"/>
      </w:pPr>
      <w:r>
        <w:t xml:space="preserve">Or $6M total if BESS is active at both sites. This fixed cost is excluded from the LP objective directly (it's a constant) but subtracted in `cost_breakdown` so the per-scenario profit numbers reflect it.</w:t>
      </w:r>
    </w:p>
    <w:p>
      <w:pPr>
        <w:pStyle w:val="Heading1"/>
      </w:pPr>
      <w:r>
        <w:rPr>
          <w:b/>
          <w:bCs/>
        </w:rPr>
        <w:t xml:space="preserve">Model Dynamic</w:t>
      </w:r>
    </w:p>
    <w:p>
      <w:pPr>
        <w:pStyle w:val="Heading2"/>
      </w:pPr>
      <w:r>
        <w:rPr>
          <w:b/>
          <w:bCs/>
        </w:rPr>
        <w:t xml:space="preserve">Decision variables</w:t>
      </w:r>
    </w:p>
    <w:p>
      <w:pPr>
        <w:spacing w:after="120"/>
      </w:pPr>
      <w:r>
        <w:t xml:space="preserve">Per hour h ∈ {0..4391} and per site s ∈ {HOUSTON, WEST}: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4060"/>
      </w:tblGrid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Units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g_lmp[h,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at RT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g_toll[h,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100, 0 at WEST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 drawn under Houston tolling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training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inf[h,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grid-MWh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allocated to inference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40 (BESS sites)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charge from grid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dis_dc[h,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to data center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dis_grid[h,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≥ 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discharge sold at LMP</w:t>
            </w:r>
          </w:p>
        </w:tc>
      </w:tr>
      <w:tr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soc[h, s]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MWh</w:t>
            </w:r>
          </w:p>
        </w:tc>
        <w:tc>
          <w:tcPr>
            <w:tcW w:type="dxa" w:w="1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0 .. 160</w:t>
            </w:r>
          </w:p>
        </w:tc>
        <w:tc>
          <w:tcPr>
            <w:tcW w:type="dxa" w:w="4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state of charge</w:t>
            </w:r>
          </w:p>
        </w:tc>
      </w:tr>
    </w:tbl>
    <w:p>
      <w:pPr>
        <w:pStyle w:val="Heading2"/>
      </w:pPr>
      <w:r>
        <w:rPr>
          <w:b/>
          <w:bCs/>
        </w:rPr>
        <w:t xml:space="preserve">Model-variable parameters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Token-multiplier scheme (per-release revenue scaling). Default `doc_blended`.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Procurement scenario (use_houston_tolling, bess_sites). Default everything-on; Phase C optimizes.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Number of Monte-Carlo paths. Default 50 for production runs.</w:t>
      </w:r>
    </w:p>
    <w:p>
      <w:pPr>
        <w:pStyle w:val="Heading2"/>
      </w:pPr>
      <w:r>
        <w:rPr>
          <w:b/>
          <w:bCs/>
        </w:rPr>
        <w:t xml:space="preserve">Objective</w:t>
      </w:r>
    </w:p>
    <w:p>
      <w:pPr>
        <w:spacing w:after="120"/>
      </w:pPr>
      <w:r>
        <w:t xml:space="preserve">Maximize expected profit across MC price paths:</w:t>
      </w:r>
    </w:p>
    <w:p>
      <w:pPr>
        <w:spacing w:after="120"/>
      </w:pPr>
      <w:r>
        <w:rPr>
          <w:i/>
          <w:iCs/>
        </w:rPr>
        <w:t xml:space="preserve">max  Σ_h Σ_s ( rev_inf[h] · inf[h, s]  +  LMP[h, s] · dis_grid[h, s] )</w:t>
      </w:r>
    </w:p>
    <w:p>
      <w:pPr>
        <w:spacing w:after="120"/>
      </w:pPr>
      <w:r>
        <w:rPr>
          <w:i/>
          <w:iCs/>
        </w:rPr>
        <w:t xml:space="preserve">    − Σ_h Σ_s ( LMP[h, s] · g_lmp[h, s]  +  toll_cost[h] · g_toll[h, s]  +  LMP[h, s] · ch[h, s] )</w:t>
      </w:r>
    </w:p>
    <w:p>
      <w:pPr>
        <w:spacing w:after="120"/>
      </w:pPr>
      <w:r>
        <w:rPr>
          <w:i/>
          <w:iCs/>
        </w:rPr>
        <w:t xml:space="preserve">    − BESS_6mo_lease × |bess_sites|</w:t>
      </w:r>
    </w:p>
    <w:p>
      <w:pPr>
        <w:pStyle w:val="Heading2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grid draw cap: g_lmp + g_toll ≤ 100 MWh/hr × capacity_factor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Per-site compute cap: train + inf ≤ 100 MWh-grid/hr (= 80 compute-MWh/hr)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 balance: g_lmp + g_toll + dis_dc = train + inf (LP balance; ensures power into the DC matches compute load)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Tolling at Houston only: g_toll[h, WEST] = 0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Houston toll capacity: g_toll[h, HOUSTON] ≤ TOLL_MAX_MW (× capacity_factor)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Σ_h g_toll[h, HOUSTON] per day ≤ TOLL_MAX_MWH_PER_DAY (TBD)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power: ch ≤ 40 MWh/hr, dis_dc + dis_grid ≤ 40 MWh/hr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ch − (dis_dc + dis_grid) / √0.92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BESS starts and ends at SOC = 0 (no inventory at horizon endpoints)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Per-release training: Σ_h Σ_s train[h, s] over R_k's window ≥ project_compute_mwh(R_k.start) × PUE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R1 initial: inf[h, s] = 0 for all h in R1's window (100 % compute → training)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Outside any release window: train[h, s] = 0 (unless schedule is empty, in which case the daily floor governs)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Σ_s,h-in-day train[h, s] ≥ 500 MWh-grid/day</w:t>
      </w:r>
    </w:p>
    <w:p>
      <w:pPr>
        <w:pStyle w:val="Heading2"/>
      </w:pPr>
      <w:r>
        <w:rPr>
          <w:b/>
          <w:bCs/>
        </w:rPr>
        <w:t xml:space="preserve">Optimization workflow (run_planning_doc.py)</w:t>
      </w:r>
    </w:p>
    <w:p>
      <w:pPr>
        <w:spacing w:after="120"/>
      </w:pPr>
      <w:r>
        <w:t xml:space="preserve">Profit is maximized in four sequential phases:</w:t>
      </w:r>
    </w:p>
    <w:p>
      <w:pPr>
        <w:pStyle w:val="Heading3"/>
      </w:pPr>
      <w:r>
        <w:rPr>
          <w:b/>
          <w:bCs/>
        </w:rPr>
        <w:t xml:space="preserve">Phase A — Cadence selection (procurement = all on)</w:t>
      </w:r>
    </w:p>
    <w:p>
      <w:pPr>
        <w:spacing w:after="120"/>
      </w:pPr>
      <w:r>
        <w:t xml:space="preserve">For each candidate cadence c (after filter), solve the LP across N MC price paths in parallel via a ProcessPool. Mean per-path profit is the score for c. Stage 1 sweeps the filtered broad set; Stage 2 refines six cadences ±30 % around the Stage-1 winner. Winner is the cadence with highest mean profit.</w:t>
      </w:r>
    </w:p>
    <w:p>
      <w:pPr>
        <w:pStyle w:val="Heading3"/>
      </w:pPr>
      <w:r>
        <w:rPr>
          <w:b/>
          <w:bCs/>
        </w:rPr>
        <w:t xml:space="preserve">Phase B — Locked-cadence diagnostic (procurement = all on)</w:t>
      </w:r>
    </w:p>
    <w:p>
      <w:pPr>
        <w:spacing w:after="120"/>
      </w:pPr>
      <w:r>
        <w:t xml:space="preserve">At the Phase-A winning cadence, re-solve the LP on every path and report averaged-across-paths metrics: cost breakdown, profit distribution, procurement mix. This is a marginal-cost view — the LP "uses" BESS even when the lease is net-negative because the lease is a sunk constant from the LP's perspective.</w:t>
      </w:r>
    </w:p>
    <w:p>
      <w:pPr>
        <w:pStyle w:val="Heading3"/>
      </w:pPr>
      <w:r>
        <w:rPr>
          <w:b/>
          <w:bCs/>
        </w:rPr>
        <w:t xml:space="preserve">Phase C — Procurement optimization (full-cost view, lease included)</w:t>
      </w:r>
    </w:p>
    <w:p>
      <w:pPr>
        <w:spacing w:after="120"/>
      </w:pPr>
      <w:r>
        <w:t xml:space="preserve">At the locked cadence, sweep eight procurement combinations: toll ∈ {off, on} × BESS-sites ∈ {none, Houston, West, both}. For each combo, solve N paths and average profit including the BESS lease as a fixed-cost subtraction. Pick the combo with highest mean profit; this is the optimal procurement under full-cost accounting.</w:t>
      </w:r>
    </w:p>
    <w:p>
      <w:pPr>
        <w:pStyle w:val="Heading3"/>
      </w:pPr>
      <w:r>
        <w:rPr>
          <w:b/>
          <w:bCs/>
        </w:rPr>
        <w:t xml:space="preserve">Verification — Cadence under optimal procurement</w:t>
      </w:r>
    </w:p>
    <w:p>
      <w:pPr>
        <w:spacing w:after="120"/>
      </w:pPr>
      <w:r>
        <w:t xml:space="preserve"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>
      <w:pPr>
        <w:pStyle w:val="Heading3"/>
      </w:pPr>
      <w:r>
        <w:rPr>
          <w:b/>
          <w:bCs/>
        </w:rPr>
        <w:t xml:space="preserve">Final output</w:t>
      </w:r>
    </w:p>
    <w:p>
      <w:pPr>
        <w:spacing w:after="120"/>
      </w:pPr>
      <w:r>
        <w:t xml:space="preserve">Re-solve the LP on every MC path with the (verified cadence, optimal procurement) policy and save: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g_lmp, g_toll, train, inf, compute-MWh, FLOPS, tokens, BESS dispatch if enabled).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Averaged-across-paths hourly schedule with ±std for every variable.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Per-cadence mean/std/percentile summary CSV.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Console: first 24 hours at HOUSTON with mean ± std annotations.</w:t>
      </w:r>
    </w:p>
    <w:p>
      <w:pPr>
        <w:pStyle w:val="Heading2"/>
      </w:pPr>
      <w:r>
        <w:rPr>
          <w:b/>
          <w:bCs/>
        </w:rPr>
        <w:t xml:space="preserve">Inputs at a glance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000"/>
        <w:gridCol w:w="5060"/>
      </w:tblGrid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DEB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Source / Default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Hourly RT LMP (HB_HOUSTON, HB_WEST)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ERCOT DAM 2025, shifted +1 yr; MC paths from OU calibration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Tolling cost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(HH_daily + $3/MMBtu) × 9.5 MMBtu/MWh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BESS 6-month lease per site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 M (= $60 M / 15 yr / 2 + $2 M / 2)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Power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Facility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200 MWh/hr (= 100/site)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 cap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160 cMWh/hr (= 80/site after PUE 1.25)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Hardware throughput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FLOPS_PER_COMPUTE_MWH = 1.83 × 10²¹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Compute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 daily training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500 MWh-grid/day, system-total (mandatory)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Param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log10(P) = −49.66 + 1.32e-3·day (post-2020 fit, 5× multiplier)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FLOPS projection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log10(petaFLOPS) = −9.82 + 1.72·log10(P)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Training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R1 fixed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Starts 6/1/2026, 100 % compute, ~10 days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 price (peak)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$30/MM input + $180/MM output ⇒ $80/MM blended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Tokens per compute-MWh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2.604 × 10⁹</w:t>
            </w:r>
          </w:p>
        </w:tc>
      </w:tr>
      <w:tr>
        <w:tc>
          <w:tcPr>
            <w:tcW w:type="dxa" w:w="1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Revenue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Decay halflife</w:t>
            </w:r>
          </w:p>
        </w:tc>
        <w:tc>
          <w:tcPr>
            <w:tcW w:type="dxa" w:w="5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 days (sensitivity available)</w:t>
            </w:r>
          </w:p>
        </w:tc>
      </w:tr>
    </w:tbl>
    <w:p>
      <w:pPr>
        <w:pStyle w:val="Heading1"/>
      </w:pPr>
      <w:r>
        <w:rPr>
          <w:b/>
          <w:bCs/>
        </w:rPr>
        <w:t xml:space="preserve">Outstanding Work: Parameters and Assumptions to Finalize</w:t>
      </w:r>
    </w:p>
    <w:p>
      <w:pPr>
        <w:spacing w:after="120"/>
      </w:pPr>
      <w:r>
        <w:t xml:space="preserve">Items below are open questions whose resolution will sharpen the model. Each is wired into the code with a sensible default so the current results are usable, but the defaults should be revisited once authoritative numbers are available.</w:t>
      </w:r>
    </w:p>
    <w:p>
      <w:pPr>
        <w:pStyle w:val="Heading2"/>
      </w:pPr>
      <w:r>
        <w:rPr>
          <w:b/>
          <w:bCs/>
        </w:rPr>
        <w:t xml:space="preserve">Hardware throughput (FLOPS → MWh conversion)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H-100 PCIe sustained throughput</w:t>
      </w:r>
      <w:r>
        <w:t xml:space="preserve"> — currently 380 TF/s (≈ 50 % of FP8-dense 756 TF/s). Same caveat as SXM.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PUE</w:t>
      </w:r>
      <w:r>
        <w:t xml:space="preserve"> — currently 1.25, applied uniformly. Hyperscale data centers run 1.10–1.40 depending on cooling, climate, and load factor; a Houston-vs-West Texas differential is plausible.</w:t>
      </w:r>
    </w:p>
    <w:p>
      <w:pPr>
        <w:pStyle w:val="Heading2"/>
      </w:pPr>
      <w:r>
        <w:rPr>
          <w:b/>
          <w:bCs/>
        </w:rPr>
        <w:t xml:space="preserve">Inference revenue model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Token-price decay halflife</w:t>
      </w:r>
      <w:r>
        <w:t xml:space="preserve"> — currently 60 days, with sensitivity at 30/45/60/90/120 days in `halflife_sensitivity.py`. The 60-day default is supported by 2024–2025 frontier-tier price observations but is a strong driver of optimal cadence; a defensible point-estimate (or distribution) is needed.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Tokens per request</w:t>
      </w:r>
      <w:r>
        <w:t xml:space="preserve"> — not currently in the model. The RFP requests it; we use a per-MWh tokens conversion instead. Adding it would let us express revenue at the request level (price × requests/hr) rather than the MWh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Per-release quality multiplier</w:t>
      </w:r>
      <w:r>
        <w:t xml:space="preserve"> — currently `doc_blended` with uplift_factor = 1.5 (i.e., each release is 1.5× more valuable per token than the previous one before market decay). Plausible but not measured.</w:t>
      </w:r>
    </w:p>
    <w:p>
      <w:pPr>
        <w:pStyle w:val="Heading2"/>
      </w:pPr>
      <w:r>
        <w:rPr>
          <w:b/>
          <w:bCs/>
        </w:rPr>
        <w:t xml:space="preserve">Tolling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TOLL_MAX_MWH_PER_DAY</w:t>
      </w:r>
      <w:r>
        <w:t xml:space="preserve"> — RFP mentions a daily MWh cap on Houston tolling but doesn't specify the value. Currently `None` (no daily cap). Tighter caps would lower realized toll value.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Fixed surcharge / capacity payment</w:t>
      </w:r>
      <w:r>
        <w:t xml:space="preserve"> — currently $0/MWh on the variable side and no annual fixed payment. Real tolling contracts typically include both. A non-zero fixed surcharge would change Phase C's decision about whether to sign the contract at all.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Heat rate</w:t>
      </w:r>
      <w:r>
        <w:t xml:space="preserve"> — currently 9,500 BTU/kWh per the RFP. This is consistent with an efficient simple-cycle peaker; assumed firm.</w:t>
      </w:r>
    </w:p>
    <w:p>
      <w:pPr>
        <w:pStyle w:val="Heading2"/>
      </w:pPr>
      <w:r>
        <w:rPr>
          <w:b/>
          <w:bCs/>
        </w:rPr>
        <w:t xml:space="preserve">BESS contract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Lease structure</w:t>
      </w:r>
      <w:r>
        <w:t xml:space="preserve"> — currently $60 M capex amortized over 15 yr + $2 M opex/yr, half-year prorate ⇒ $3 M / site / 6 months. Need confirmation that this is the actual tolling-style lease structure for the prescribed BESS rather than an outright-buy amortization.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Round-trip efficiency</w:t>
      </w:r>
      <w:r>
        <w:t xml:space="preserve"> — currently 92 % (√ on each leg ≈ 0.959). RFP-stated; assumed firm.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Degradation</w:t>
      </w:r>
      <w:r>
        <w:t xml:space="preserve"> — not currently modelled (6-month horizon is short enough that this is plausibly second-order, but should be noted).</w:t>
      </w:r>
    </w:p>
    <w:p>
      <w:pPr>
        <w:pStyle w:val="Heading2"/>
      </w:pPr>
      <w:r>
        <w:rPr>
          <w:b/>
          <w:bCs/>
        </w:rPr>
        <w:t xml:space="preserve">Power-price input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Forward-curve drift</w:t>
      </w:r>
      <w:r>
        <w:t xml:space="preserve"> — MC paths are simulated from OU calibrated on 2025 actuals (with deterministic baseline = 2025 hourly DAM shifted +1 year). No structural drift / forward-curve adjustment for fuel-price changes 2025 → 2026. If gas or load forecasts indicate meaningful drift, an additive shift or recalibrated long-run mean would tighten the estimate.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Number of MC paths</w:t>
      </w:r>
      <w:r>
        <w:t xml:space="preserve"> — currently default 50 for production runs. 200+ would tighten confidence intervals on procurement decisions where the gap is small (Phase-C gaps are ~$5 M while paths-stdev is ~$30 M).</w:t>
      </w:r>
    </w:p>
    <w:p>
      <w:pPr>
        <w:pStyle w:val="Heading2"/>
      </w:pPr>
      <w:r>
        <w:rPr>
          <w:b/>
          <w:bCs/>
        </w:rPr>
        <w:t xml:space="preserve">Constraints from the RFP not yet modelled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</w:t>
      </w:r>
      <w:r>
        <w:t xml:space="preserve"> — the RFP asks for a substantive discussion citing ERCOT data; the LP currently treats grid power as always available at LMP, with no capacity-factor reduction. Could be added either as a stochastic capacity_factor[h] or by penalizing high-LMP hours that correlate with low renewable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Unscheduled-outage scenarios</w:t>
      </w:r>
      <w:r>
        <w:t xml:space="preserve"> — RFP prescribes specific outage contingencies. Currently not modelled; would enter as a forced reduction in g_lmp + g_toll capacity over an outage window.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 factor</w:t>
      </w:r>
      <w:r>
        <w:t xml:space="preserve"> — currently 1.0 uniformly. Could be derated for transmission constraints, weather, planned maintenance.</w:t>
      </w:r>
    </w:p>
    <w:p>
      <w:pPr>
        <w:pStyle w:val="Heading1"/>
      </w:pPr>
      <w:r>
        <w:rPr>
          <w:b/>
          <w:bCs/>
        </w:rPr>
        <w:t xml:space="preserve">Report</w:t>
      </w:r>
    </w:p>
    <w:p>
      <w:pPr>
        <w:spacing w:after="120"/>
      </w:pPr>
      <w:r>
        <w:t xml:space="preserve">(Sections below to be written; planning sections above describe the model setup and serve as input.)</w:t>
      </w:r>
    </w:p>
    <w:p>
      <w:pPr>
        <w:pStyle w:val="Heading2"/>
      </w:pPr>
      <w:r>
        <w:rPr>
          <w:b/>
          <w:bCs/>
        </w:rPr>
        <w:t xml:space="preserve">Executive Summary</w:t>
      </w:r>
    </w:p>
    <w:p>
      <w:pPr>
        <w:pStyle w:val="Heading2"/>
      </w:pPr>
      <w:r>
        <w:rPr>
          <w:b/>
          <w:bCs/>
        </w:rPr>
        <w:t xml:space="preserve">Model Setup</w:t>
      </w:r>
    </w:p>
    <w:p>
      <w:pPr>
        <w:pStyle w:val="Heading3"/>
      </w:pPr>
      <w:r>
        <w:rPr>
          <w:b/>
          <w:bCs/>
        </w:rPr>
        <w:t xml:space="preserve">Inference + Training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Power</w:t>
      </w:r>
    </w:p>
    <w:p>
      <w:pPr>
        <w:spacing w:after="120"/>
      </w:pPr>
      <w:r>
        <w:t xml:space="preserve">Data Inputs</w:t>
      </w:r>
    </w:p>
    <w:p>
      <w:pPr>
        <w:spacing w:after="120"/>
      </w:pPr>
      <w:r>
        <w:t xml:space="preserve">Assumptions</w:t>
      </w:r>
    </w:p>
    <w:p>
      <w:pPr>
        <w:spacing w:after="120"/>
      </w:pPr>
      <w:r>
        <w:t xml:space="preserve">Constraints</w:t>
      </w:r>
    </w:p>
    <w:p>
      <w:pPr>
        <w:pStyle w:val="Heading3"/>
      </w:pPr>
      <w:r>
        <w:rPr>
          <w:b/>
          <w:bCs/>
        </w:rPr>
        <w:t xml:space="preserve">Workflow (Descriptive Model) &amp; The Code</w:t>
      </w:r>
    </w:p>
    <w:p>
      <w:pPr>
        <w:pStyle w:val="Heading2"/>
      </w:pPr>
      <w:r>
        <w:rPr>
          <w:b/>
          <w:bCs/>
        </w:rPr>
        <w:t xml:space="preserve">Results / Sensitivities</w:t>
      </w:r>
    </w:p>
    <w:p>
      <w:pPr>
        <w:pStyle w:val="Heading2"/>
      </w:pPr>
      <w:r>
        <w:rPr>
          <w:b/>
          <w:bCs/>
        </w:rPr>
        <w:t xml:space="preserve">Analysis</w:t>
      </w:r>
    </w:p>
    <w:p>
      <w:pPr>
        <w:pStyle w:val="Heading2"/>
      </w:pPr>
      <w:r>
        <w:rPr>
          <w:b/>
          <w:bCs/>
        </w:rPr>
        <w:t xml:space="preserve">Conclusion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3F3F3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2026-05-17T04:19:13.190Z</dcterms:created>
  <dcterms:modified xsi:type="dcterms:W3CDTF">2026-05-17T04:19:13.191Z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